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D57833" w14:textId="77777777" w:rsidR="00B333BC" w:rsidRPr="00902439" w:rsidRDefault="00824208">
      <w:pPr>
        <w:pStyle w:val="Heading1"/>
        <w:keepNext w:val="0"/>
        <w:keepLines w:val="0"/>
        <w:spacing w:before="480"/>
        <w:rPr>
          <w:rFonts w:ascii="Meiryo UI" w:eastAsia="Meiryo UI" w:hAnsi="Meiryo UI"/>
          <w:b/>
          <w:bCs/>
          <w:sz w:val="36"/>
          <w:szCs w:val="36"/>
        </w:rPr>
      </w:pPr>
      <w:bookmarkStart w:id="0" w:name="_jxiuyc80nm02" w:colFirst="0" w:colLast="0"/>
      <w:bookmarkEnd w:id="0"/>
      <w:r w:rsidRPr="00902439">
        <w:rPr>
          <w:rFonts w:ascii="Meiryo UI" w:eastAsia="Meiryo UI" w:hAnsi="Meiryo UI" w:cs="Arial Unicode MS"/>
          <w:b/>
          <w:bCs/>
          <w:sz w:val="36"/>
          <w:szCs w:val="36"/>
        </w:rPr>
        <w:t>ホワイトペーパー：国内先物取引ポストトレード業務の課題と自動化への道筋</w:t>
      </w:r>
    </w:p>
    <w:p w14:paraId="5A7105E1" w14:textId="77777777" w:rsidR="00B333BC" w:rsidRPr="00902439" w:rsidRDefault="00824208">
      <w:pPr>
        <w:pStyle w:val="Heading2"/>
        <w:keepNext w:val="0"/>
        <w:keepLines w:val="0"/>
        <w:spacing w:after="80"/>
        <w:rPr>
          <w:rFonts w:ascii="Meiryo UI" w:eastAsia="Meiryo UI" w:hAnsi="Meiryo UI"/>
          <w:b/>
          <w:bCs/>
        </w:rPr>
      </w:pPr>
      <w:bookmarkStart w:id="1" w:name="_b1jngsg8w4qk" w:colFirst="0" w:colLast="0"/>
      <w:bookmarkEnd w:id="1"/>
      <w:r w:rsidRPr="00902439">
        <w:rPr>
          <w:rFonts w:ascii="Meiryo UI" w:eastAsia="Meiryo UI" w:hAnsi="Meiryo UI" w:cs="Arial Unicode MS"/>
          <w:b/>
          <w:bCs/>
        </w:rPr>
        <w:t>はじめに：なぜ今、ポストトレード業務の改革が求められるのか</w:t>
      </w:r>
    </w:p>
    <w:p w14:paraId="3CFB8246"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政府が推進する「資産運用立国」の実現は、金融市場の魅力と国際競争力をいかに高めるかにかかっています。その成否を左右する重要な要素の一つが、市場参加者のオペレーション効率化です。しかし、国内の先物取引、特に約定後から決済に至るまでのポストトレード領域には、依然として非効率な手作業や複雑な業務フローといった「積年の課題」が根深く存在しています。</w:t>
      </w:r>
    </w:p>
    <w:p w14:paraId="17C182BC"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これらの課題は、単なる現場の業務負荷に留まらず、オペレーショナルリスクの増大、コストの高止まり、そしてグローバルな潮流からの乖離を招き、日本市場全体の成長を阻害する要因となりかねません。</w:t>
      </w:r>
    </w:p>
    <w:p w14:paraId="75C12ED3"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本ホワイトペーパーは、この問題意識に基づき、国内先物ポストトレード業務が抱える課題の根本原因を多角的に解明します。平均単価計算の不統一、複雑な決済ロジック、非効率な照合プロセスといった具体的な問題点を分析し、それらがなぜ解決されずにきたのか、その構造的な背景にまで踏み込みます。その上で、業界主導の「標準化」とテクノロジーを活用した「自動化」を両輪とする、改革に向けた具体的な道筋を提示します。本稿が、市場参加者全体の生産性を向上させ、ひいては日本市場の競争力強化に貢献するための一助となることを目指します。</w:t>
      </w:r>
    </w:p>
    <w:p w14:paraId="0F2E4E44"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まずは、ポストトレード業務の現場で日々どのような問題が発生しているのか、その実態から見ていきましょう。</w:t>
      </w:r>
    </w:p>
    <w:p w14:paraId="7E7D32AF"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sz w:val="21"/>
          <w:szCs w:val="21"/>
        </w:rPr>
        <w:t>--------------------------------------------------------------------------------</w:t>
      </w:r>
    </w:p>
    <w:p w14:paraId="240E5551" w14:textId="77777777" w:rsidR="00B333BC" w:rsidRPr="00902439" w:rsidRDefault="00824208">
      <w:pPr>
        <w:pStyle w:val="Heading2"/>
        <w:keepNext w:val="0"/>
        <w:keepLines w:val="0"/>
        <w:spacing w:after="80"/>
        <w:rPr>
          <w:rFonts w:ascii="Meiryo UI" w:eastAsia="Meiryo UI" w:hAnsi="Meiryo UI"/>
          <w:b/>
          <w:bCs/>
        </w:rPr>
      </w:pPr>
      <w:bookmarkStart w:id="2" w:name="_vb3hke5w2f67" w:colFirst="0" w:colLast="0"/>
      <w:bookmarkEnd w:id="2"/>
      <w:r w:rsidRPr="00902439">
        <w:rPr>
          <w:rFonts w:ascii="Meiryo UI" w:eastAsia="Meiryo UI" w:hAnsi="Meiryo UI" w:cs="Arial Unicode MS"/>
          <w:b/>
          <w:bCs/>
        </w:rPr>
        <w:t>1. 国内先物ポストトレード業務の現状と深刻化する課題</w:t>
      </w:r>
    </w:p>
    <w:p w14:paraId="54EBD413"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資産運用立国」構想の足かせとなっているのは、日々のオペレーションに潜む、見過ごされた非効率性です。これらは個別の業務課題ではなく、業界全体のコスト構造を悪化させ、国際競争力を削ぐ構造的なリスク要因となっています。本章では、特に深刻な3つの課題を解き明かします。</w:t>
      </w:r>
    </w:p>
    <w:p w14:paraId="7633B9F6"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3" w:name="_sn9u9cmfvquu" w:colFirst="0" w:colLast="0"/>
      <w:bookmarkEnd w:id="3"/>
      <w:r w:rsidRPr="00902439">
        <w:rPr>
          <w:rFonts w:ascii="Meiryo UI" w:eastAsia="Meiryo UI" w:hAnsi="Meiryo UI" w:cs="Arial Unicode MS"/>
          <w:b/>
          <w:bCs/>
          <w:color w:val="000000"/>
          <w:sz w:val="24"/>
          <w:szCs w:val="24"/>
        </w:rPr>
        <w:t>1.1. 平均単価計算の不統一がもたらす「1円の攻防」</w:t>
      </w:r>
    </w:p>
    <w:p w14:paraId="39720323" w14:textId="5A863FA8"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lastRenderedPageBreak/>
        <w:t>国内先物取引では、複数の約定を一つの平均単価で処理する</w:t>
      </w:r>
      <w:r w:rsidR="00013D67">
        <w:rPr>
          <w:rFonts w:ascii="Meiryo UI" w:eastAsia="Meiryo UI" w:hAnsi="Meiryo UI" w:cs="Arial Unicode MS" w:hint="eastAsia"/>
          <w:sz w:val="21"/>
          <w:szCs w:val="21"/>
        </w:rPr>
        <w:t>仕組み</w:t>
      </w:r>
      <w:r w:rsidRPr="00902439">
        <w:rPr>
          <w:rFonts w:ascii="Meiryo UI" w:eastAsia="Meiryo UI" w:hAnsi="Meiryo UI" w:cs="Arial Unicode MS"/>
          <w:sz w:val="21"/>
          <w:szCs w:val="21"/>
        </w:rPr>
        <w:t>がありますが、その平均単価を用いて最終的な「約定金額」を算出する計算ロジックが業界内で統一されていません。主に以下の2つの方式が</w:t>
      </w:r>
      <w:r w:rsidR="00013D67">
        <w:rPr>
          <w:rFonts w:ascii="Meiryo UI" w:eastAsia="Meiryo UI" w:hAnsi="Meiryo UI" w:cs="Arial Unicode MS" w:hint="eastAsia"/>
          <w:sz w:val="21"/>
          <w:szCs w:val="21"/>
        </w:rPr>
        <w:t>評価損益・実現損益の計算において</w:t>
      </w:r>
      <w:r w:rsidRPr="00902439">
        <w:rPr>
          <w:rFonts w:ascii="Meiryo UI" w:eastAsia="Meiryo UI" w:hAnsi="Meiryo UI" w:cs="Arial Unicode MS"/>
          <w:sz w:val="21"/>
          <w:szCs w:val="21"/>
        </w:rPr>
        <w:t>混在しており、</w:t>
      </w:r>
      <w:r w:rsidR="005838EB">
        <w:rPr>
          <w:rFonts w:ascii="Meiryo UI" w:eastAsia="Meiryo UI" w:hAnsi="Meiryo UI" w:cs="Arial Unicode MS" w:hint="eastAsia"/>
          <w:sz w:val="21"/>
          <w:szCs w:val="21"/>
        </w:rPr>
        <w:t>照合不一致を起こす原因</w:t>
      </w:r>
      <w:r w:rsidRPr="00902439">
        <w:rPr>
          <w:rFonts w:ascii="Meiryo UI" w:eastAsia="Meiryo UI" w:hAnsi="Meiryo UI" w:cs="Arial Unicode MS"/>
          <w:sz w:val="21"/>
          <w:szCs w:val="21"/>
        </w:rPr>
        <w:t>となっています。</w:t>
      </w:r>
    </w:p>
    <w:p w14:paraId="65EF176D" w14:textId="6B44E380" w:rsidR="00B333BC" w:rsidRPr="00902439" w:rsidRDefault="00824208">
      <w:pPr>
        <w:numPr>
          <w:ilvl w:val="0"/>
          <w:numId w:val="3"/>
        </w:numPr>
        <w:spacing w:before="240"/>
        <w:rPr>
          <w:rFonts w:ascii="Meiryo UI" w:eastAsia="Meiryo UI" w:hAnsi="Meiryo UI"/>
          <w:sz w:val="21"/>
          <w:szCs w:val="21"/>
        </w:rPr>
      </w:pPr>
      <w:r w:rsidRPr="00902439">
        <w:rPr>
          <w:rFonts w:ascii="Meiryo UI" w:eastAsia="Meiryo UI" w:hAnsi="Meiryo UI" w:cs="Arial Unicode MS"/>
          <w:b/>
          <w:bCs/>
          <w:sz w:val="21"/>
          <w:szCs w:val="21"/>
        </w:rPr>
        <w:t>金額方式:</w:t>
      </w:r>
      <w:r w:rsidRPr="00902439">
        <w:rPr>
          <w:rFonts w:ascii="Meiryo UI" w:eastAsia="Meiryo UI" w:hAnsi="Meiryo UI" w:cs="Arial Unicode MS"/>
          <w:sz w:val="21"/>
          <w:szCs w:val="21"/>
        </w:rPr>
        <w:t xml:space="preserve"> 取引当初に約定金額総額を確定させ、複数回に分けて決済する際には、最後の決済で端数調整を行い、総額が必ず一致するように計算する方式です。JSCC（日本証券クリアリング機構）の計算方法と差異が生じにくいため、多くの国内</w:t>
      </w:r>
      <w:r w:rsidR="00013D67">
        <w:rPr>
          <w:rFonts w:ascii="Meiryo UI" w:eastAsia="Meiryo UI" w:hAnsi="Meiryo UI" w:cs="Arial Unicode MS" w:hint="eastAsia"/>
          <w:sz w:val="21"/>
          <w:szCs w:val="21"/>
        </w:rPr>
        <w:t>運用者・</w:t>
      </w:r>
      <w:r w:rsidRPr="00902439">
        <w:rPr>
          <w:rFonts w:ascii="Meiryo UI" w:eastAsia="Meiryo UI" w:hAnsi="Meiryo UI" w:cs="Arial Unicode MS"/>
          <w:sz w:val="21"/>
          <w:szCs w:val="21"/>
        </w:rPr>
        <w:t>証券会社が</w:t>
      </w:r>
      <w:r w:rsidR="00013D67">
        <w:rPr>
          <w:rFonts w:ascii="Meiryo UI" w:eastAsia="Meiryo UI" w:hAnsi="Meiryo UI" w:cs="Arial Unicode MS" w:hint="eastAsia"/>
          <w:sz w:val="21"/>
          <w:szCs w:val="21"/>
        </w:rPr>
        <w:t>採用</w:t>
      </w:r>
      <w:r w:rsidRPr="00902439">
        <w:rPr>
          <w:rFonts w:ascii="Meiryo UI" w:eastAsia="Meiryo UI" w:hAnsi="Meiryo UI" w:cs="Arial Unicode MS"/>
          <w:sz w:val="21"/>
          <w:szCs w:val="21"/>
        </w:rPr>
        <w:t>しています。</w:t>
      </w:r>
    </w:p>
    <w:p w14:paraId="011D8894" w14:textId="2A99A755" w:rsidR="00B333BC" w:rsidRPr="00BA03E7" w:rsidRDefault="00824208" w:rsidP="00BA03E7">
      <w:pPr>
        <w:spacing w:before="240" w:after="240"/>
        <w:rPr>
          <w:rFonts w:ascii="Meiryo UI" w:eastAsia="Meiryo UI" w:hAnsi="Meiryo UI"/>
          <w:sz w:val="21"/>
          <w:szCs w:val="21"/>
        </w:rPr>
      </w:pPr>
      <w:r w:rsidRPr="00BA03E7">
        <w:rPr>
          <w:rFonts w:ascii="Meiryo UI" w:eastAsia="Meiryo UI" w:hAnsi="Meiryo UI" w:cs="Arial Unicode MS"/>
          <w:b/>
          <w:bCs/>
          <w:sz w:val="21"/>
          <w:szCs w:val="21"/>
        </w:rPr>
        <w:t>単価方式:</w:t>
      </w:r>
      <w:r w:rsidRPr="00BA03E7">
        <w:rPr>
          <w:rFonts w:ascii="Meiryo UI" w:eastAsia="Meiryo UI" w:hAnsi="Meiryo UI" w:cs="Arial Unicode MS"/>
          <w:sz w:val="21"/>
          <w:szCs w:val="21"/>
        </w:rPr>
        <w:t xml:space="preserve"> 決済の都度、平均単価を用いて約定金額を算出する方式です。計算過程で円未満の端数処理が複数回発生するため、最終的な合計損益が金額方式と比べて数円ずれることがあります。</w:t>
      </w:r>
      <w:r w:rsidR="00BA03E7">
        <w:rPr>
          <w:rFonts w:ascii="Meiryo UI" w:eastAsia="Meiryo UI" w:hAnsi="Meiryo UI" w:cs="Arial Unicode MS" w:hint="eastAsia"/>
          <w:sz w:val="21"/>
          <w:szCs w:val="21"/>
        </w:rPr>
        <w:t>国内運用者でも実現損益計算で採用する場合もありますが、</w:t>
      </w:r>
      <w:r w:rsidRPr="00BA03E7">
        <w:rPr>
          <w:rFonts w:ascii="Meiryo UI" w:eastAsia="Meiryo UI" w:hAnsi="Meiryo UI" w:cs="Arial Unicode MS"/>
          <w:sz w:val="21"/>
          <w:szCs w:val="21"/>
        </w:rPr>
        <w:t>グローバルで標準的に用いられている方式です。この計算ロジックの不統一は、証券会社と信託銀行、あるいは運用会社との間で、日常的に「1円」単位の照合差異を生じさせています。例えば、450単位の売り建玉を2回に分けて決済する場合を考えます。【金額方式】では、初回決済時の計算で端数が出ても、最終回の決済で調整を行い、合計損益が当初の計算と完全に一致します。一方、【単価方式】では、決済の都度平均単価で計算して端数を切り捨てるため、最終的な合計損益に1円の差異が生じます。</w:t>
      </w:r>
      <w:r w:rsidR="003C7DE7" w:rsidRPr="00BA03E7">
        <w:rPr>
          <w:rFonts w:ascii="Meiryo UI" w:eastAsia="Meiryo UI" w:hAnsi="Meiryo UI" w:cs="Arial Unicode MS" w:hint="eastAsia"/>
          <w:sz w:val="21"/>
          <w:szCs w:val="21"/>
        </w:rPr>
        <w:t>いずれの方式を採用した場合でも、</w:t>
      </w:r>
      <w:r w:rsidRPr="00BA03E7">
        <w:rPr>
          <w:rFonts w:ascii="Meiryo UI" w:eastAsia="Meiryo UI" w:hAnsi="Meiryo UI" w:cs="Arial Unicode MS"/>
          <w:sz w:val="21"/>
          <w:szCs w:val="21"/>
        </w:rPr>
        <w:t>この1円を解消するための手作業が、日々の非効率を生んでいるのです。</w:t>
      </w:r>
    </w:p>
    <w:p w14:paraId="650D3815" w14:textId="320C8740"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特に、投資信託などを管理するアセットオーナーは、会計処理上の「雑損益」の発生を極度に嫌う傾向があります。そのため、このわずか数円の差異を解消するために、電話やメールでの問い合わせ、手作業での確認といった膨大なコミュニケーションコストが発生しているのが実情です。この「1円の攻防」が、業界全体の生産性を著しく低下させています。</w:t>
      </w:r>
    </w:p>
    <w:p w14:paraId="472D5ED0" w14:textId="63B54397" w:rsidR="00B333BC" w:rsidRPr="00902439" w:rsidRDefault="00824208">
      <w:pPr>
        <w:pStyle w:val="Heading3"/>
        <w:keepNext w:val="0"/>
        <w:keepLines w:val="0"/>
        <w:spacing w:before="280"/>
        <w:rPr>
          <w:rFonts w:ascii="Meiryo UI" w:eastAsia="Meiryo UI" w:hAnsi="Meiryo UI"/>
          <w:b/>
          <w:bCs/>
          <w:color w:val="000000"/>
          <w:sz w:val="24"/>
          <w:szCs w:val="24"/>
        </w:rPr>
      </w:pPr>
      <w:bookmarkStart w:id="4" w:name="_drs7gsodwija" w:colFirst="0" w:colLast="0"/>
      <w:bookmarkEnd w:id="4"/>
      <w:r w:rsidRPr="00902439">
        <w:rPr>
          <w:rFonts w:ascii="Meiryo UI" w:eastAsia="Meiryo UI" w:hAnsi="Meiryo UI" w:cs="Arial Unicode MS"/>
          <w:b/>
          <w:bCs/>
          <w:color w:val="000000"/>
          <w:sz w:val="24"/>
          <w:szCs w:val="24"/>
        </w:rPr>
        <w:t>1.2. 複雑化する</w:t>
      </w:r>
      <w:r w:rsidR="00BA03E7">
        <w:rPr>
          <w:rFonts w:ascii="Meiryo UI" w:eastAsia="Meiryo UI" w:hAnsi="Meiryo UI" w:cs="Arial Unicode MS" w:hint="eastAsia"/>
          <w:b/>
          <w:bCs/>
          <w:color w:val="000000"/>
          <w:sz w:val="24"/>
          <w:szCs w:val="24"/>
        </w:rPr>
        <w:t>建玉決済</w:t>
      </w:r>
      <w:r w:rsidRPr="00902439">
        <w:rPr>
          <w:rFonts w:ascii="Meiryo UI" w:eastAsia="Meiryo UI" w:hAnsi="Meiryo UI" w:cs="Arial Unicode MS"/>
          <w:b/>
          <w:bCs/>
          <w:color w:val="000000"/>
          <w:sz w:val="24"/>
          <w:szCs w:val="24"/>
        </w:rPr>
        <w:t>ロジックと属人化するオペレーション</w:t>
      </w:r>
    </w:p>
    <w:p w14:paraId="329B270F" w14:textId="778AC2B0" w:rsidR="00B333BC" w:rsidRPr="00BA03E7" w:rsidRDefault="00824208">
      <w:pPr>
        <w:spacing w:before="240" w:after="240"/>
        <w:rPr>
          <w:rFonts w:ascii="Meiryo UI" w:eastAsia="Meiryo UI" w:hAnsi="Meiryo UI" w:cs="Arial Unicode MS"/>
          <w:sz w:val="21"/>
          <w:szCs w:val="21"/>
        </w:rPr>
      </w:pPr>
      <w:r w:rsidRPr="00902439">
        <w:rPr>
          <w:rFonts w:ascii="Meiryo UI" w:eastAsia="Meiryo UI" w:hAnsi="Meiryo UI" w:cs="Arial Unicode MS"/>
          <w:sz w:val="21"/>
          <w:szCs w:val="21"/>
        </w:rPr>
        <w:t>保有する建玉（ポジション）のうち、どの建玉から決済するかを決定するルールです。グローバルでは</w:t>
      </w:r>
      <w:r w:rsidR="00BA03E7" w:rsidRPr="00902439">
        <w:rPr>
          <w:rFonts w:ascii="Meiryo UI" w:eastAsia="Meiryo UI" w:hAnsi="Meiryo UI" w:cs="Arial Unicode MS"/>
          <w:sz w:val="21"/>
          <w:szCs w:val="21"/>
        </w:rPr>
        <w:t>FIFO（First-In, First-Out）</w:t>
      </w:r>
      <w:r w:rsidRPr="00902439">
        <w:rPr>
          <w:rFonts w:ascii="Meiryo UI" w:eastAsia="Meiryo UI" w:hAnsi="Meiryo UI" w:cs="Arial Unicode MS"/>
          <w:sz w:val="21"/>
          <w:szCs w:val="21"/>
        </w:rPr>
        <w:t>「取引日が古いものから決済する」といったシンプルなロジックが標準的ですが、国内ではこれに加えて、国内のアセットマネージャー向けに個別に開発された、多数の非標準的な</w:t>
      </w:r>
      <w:r w:rsidR="00BA03E7">
        <w:rPr>
          <w:rFonts w:ascii="Meiryo UI" w:eastAsia="Meiryo UI" w:hAnsi="Meiryo UI" w:cs="Arial Unicode MS" w:hint="eastAsia"/>
          <w:sz w:val="21"/>
          <w:szCs w:val="21"/>
        </w:rPr>
        <w:t>建玉決済</w:t>
      </w:r>
      <w:r w:rsidRPr="00902439">
        <w:rPr>
          <w:rFonts w:ascii="Meiryo UI" w:eastAsia="Meiryo UI" w:hAnsi="Meiryo UI" w:cs="Arial Unicode MS"/>
          <w:sz w:val="21"/>
          <w:szCs w:val="21"/>
        </w:rPr>
        <w:t>ロジック、いわゆる「ジャパンカスタマイズ」が乱立しています。</w:t>
      </w:r>
    </w:p>
    <w:p w14:paraId="05362798"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例えば、「夜間取引を優先する」「同日内の取引では価格の有利なものから決済する」「顧客からの指示で決済順序を変える」など、複雑な条件を組み合わせたロジックが顧客ごとに存在します。その結果、ブローカー側では顧客ごとに異なるマニュアル対応や、複雑なシステム設定が強いられ、オペレーションが極度に属人化しています。これは、人為的ミスの温床となるだけでなく、特定の担当者にしか処理できない状況を生み出し、深刻なオペレーショナルリスクとコスト増大を招いています。</w:t>
      </w:r>
    </w:p>
    <w:p w14:paraId="0999AE17"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5" w:name="_asmi2cm51vgx" w:colFirst="0" w:colLast="0"/>
      <w:bookmarkEnd w:id="5"/>
      <w:r w:rsidRPr="00902439">
        <w:rPr>
          <w:rFonts w:ascii="Meiryo UI" w:eastAsia="Meiryo UI" w:hAnsi="Meiryo UI" w:cs="Arial Unicode MS"/>
          <w:b/>
          <w:bCs/>
          <w:color w:val="000000"/>
          <w:sz w:val="24"/>
          <w:szCs w:val="24"/>
        </w:rPr>
        <w:lastRenderedPageBreak/>
        <w:t>1.3. 二重の照合作業と非効率なワークフロー</w:t>
      </w:r>
    </w:p>
    <w:p w14:paraId="67B860D9"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現在の国内先物ポストトレードの業務フローは、多くの重複したプロセスを内包しており、構造的な非効率性を抱えています。具体的には、以下のような問題点が指摘されています。</w:t>
      </w:r>
    </w:p>
    <w:p w14:paraId="27686363" w14:textId="77777777" w:rsidR="00B333BC" w:rsidRPr="00902439" w:rsidRDefault="00824208">
      <w:pPr>
        <w:numPr>
          <w:ilvl w:val="0"/>
          <w:numId w:val="4"/>
        </w:numPr>
        <w:spacing w:before="240"/>
        <w:rPr>
          <w:rFonts w:ascii="Meiryo UI" w:eastAsia="Meiryo UI" w:hAnsi="Meiryo UI"/>
          <w:sz w:val="21"/>
          <w:szCs w:val="21"/>
        </w:rPr>
      </w:pPr>
      <w:bookmarkStart w:id="6" w:name="_Hlk215673485"/>
      <w:r w:rsidRPr="00902439">
        <w:rPr>
          <w:rFonts w:ascii="Meiryo UI" w:eastAsia="Meiryo UI" w:hAnsi="Meiryo UI" w:cs="Arial Unicode MS"/>
          <w:b/>
          <w:bCs/>
          <w:sz w:val="21"/>
          <w:szCs w:val="21"/>
        </w:rPr>
        <w:t>二重の照合プロセス:</w:t>
      </w:r>
      <w:r w:rsidRPr="00902439">
        <w:rPr>
          <w:rFonts w:ascii="Meiryo UI" w:eastAsia="Meiryo UI" w:hAnsi="Meiryo UI" w:cs="Arial Unicode MS"/>
          <w:sz w:val="21"/>
          <w:szCs w:val="21"/>
        </w:rPr>
        <w:t xml:space="preserve"> 証券会社は、約定データを受けた後、まず自社のシステム内で照合を行います。その後、信託銀行にデータを連携し、信託銀行側で再度、運用会社の指図と照合するという二重のプロセスが発生しています。</w:t>
      </w:r>
    </w:p>
    <w:p w14:paraId="6AB99EC9" w14:textId="215BC889" w:rsidR="00B333BC" w:rsidRPr="00902439" w:rsidRDefault="00824208">
      <w:pPr>
        <w:numPr>
          <w:ilvl w:val="1"/>
          <w:numId w:val="4"/>
        </w:numPr>
        <w:rPr>
          <w:rFonts w:ascii="Meiryo UI" w:eastAsia="Meiryo UI" w:hAnsi="Meiryo UI"/>
          <w:sz w:val="21"/>
          <w:szCs w:val="21"/>
        </w:rPr>
      </w:pPr>
      <w:r w:rsidRPr="00902439">
        <w:rPr>
          <w:rFonts w:ascii="Meiryo UI" w:eastAsia="Meiryo UI" w:hAnsi="Meiryo UI" w:cs="Arial Unicode MS"/>
          <w:color w:val="188038"/>
          <w:sz w:val="21"/>
          <w:szCs w:val="21"/>
        </w:rPr>
        <w:t>証券会社（</w:t>
      </w:r>
      <w:r w:rsidR="004E4B64" w:rsidRPr="004E4B64">
        <w:rPr>
          <w:rFonts w:ascii="Meiryo UI" w:eastAsia="Meiryo UI" w:hAnsi="Meiryo UI" w:cs="Arial Unicode MS" w:hint="eastAsia"/>
          <w:color w:val="188038"/>
          <w:sz w:val="21"/>
          <w:szCs w:val="21"/>
        </w:rPr>
        <w:t>運用会社</w:t>
      </w:r>
      <w:r w:rsidR="004E4B64">
        <w:rPr>
          <w:rFonts w:ascii="Meiryo UI" w:eastAsia="Meiryo UI" w:hAnsi="Meiryo UI" w:cs="Arial Unicode MS" w:hint="eastAsia"/>
          <w:color w:val="188038"/>
          <w:sz w:val="21"/>
          <w:szCs w:val="21"/>
        </w:rPr>
        <w:t>の指図と</w:t>
      </w:r>
      <w:r w:rsidR="004E4B64" w:rsidRPr="004E4B64">
        <w:rPr>
          <w:rFonts w:ascii="Meiryo UI" w:eastAsia="Meiryo UI" w:hAnsi="Meiryo UI" w:cs="Arial Unicode MS" w:hint="eastAsia"/>
          <w:color w:val="188038"/>
          <w:sz w:val="21"/>
          <w:szCs w:val="21"/>
        </w:rPr>
        <w:t>照合</w:t>
      </w:r>
      <w:r w:rsidRPr="00902439">
        <w:rPr>
          <w:rFonts w:ascii="Meiryo UI" w:eastAsia="Meiryo UI" w:hAnsi="Meiryo UI" w:cs="Arial Unicode MS"/>
          <w:color w:val="188038"/>
          <w:sz w:val="21"/>
          <w:szCs w:val="21"/>
        </w:rPr>
        <w:t>） → 信託銀行へデータ連携 → 信託銀行（運用会社の指図と再度照合）</w:t>
      </w:r>
    </w:p>
    <w:bookmarkEnd w:id="6"/>
    <w:p w14:paraId="6E0D6C58" w14:textId="601022D8" w:rsidR="00B333BC" w:rsidRPr="00902439" w:rsidRDefault="00824208">
      <w:pPr>
        <w:numPr>
          <w:ilvl w:val="0"/>
          <w:numId w:val="4"/>
        </w:numPr>
        <w:spacing w:after="240"/>
        <w:rPr>
          <w:rFonts w:ascii="Meiryo UI" w:eastAsia="Meiryo UI" w:hAnsi="Meiryo UI"/>
          <w:sz w:val="21"/>
          <w:szCs w:val="21"/>
        </w:rPr>
      </w:pPr>
      <w:r w:rsidRPr="00902439">
        <w:rPr>
          <w:rFonts w:ascii="Meiryo UI" w:eastAsia="Meiryo UI" w:hAnsi="Meiryo UI" w:cs="Arial Unicode MS"/>
          <w:b/>
          <w:bCs/>
          <w:sz w:val="21"/>
          <w:szCs w:val="21"/>
        </w:rPr>
        <w:t>不要な証拠金照合:</w:t>
      </w:r>
      <w:r w:rsidRPr="00902439">
        <w:rPr>
          <w:rFonts w:ascii="Meiryo UI" w:eastAsia="Meiryo UI" w:hAnsi="Meiryo UI" w:cs="Arial Unicode MS"/>
          <w:sz w:val="21"/>
          <w:szCs w:val="21"/>
        </w:rPr>
        <w:t xml:space="preserve"> 海外の先物取引では行われていない証拠金の照合作業が、国内取引では慣行として残っています。契約上、顧客は証券会社が算出した証拠金額を支払う義務があり、照合は必須ではありませんが、長年の慣習として続けられています。</w:t>
      </w:r>
    </w:p>
    <w:p w14:paraId="14025851"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れらのプロセスは、関係者全員にとって「無駄な作業」となっており、約定から決済までの時間を不必要に長期化させています。本来であれば、テクノロジーを活用して一元的に処理できるはずの業務が、分断された手作業のリレーによって支えられているのが現状です。</w:t>
      </w:r>
    </w:p>
    <w:p w14:paraId="3902E814"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では、なぜこのような非効率な状態が長年にわたって放置されてきたのでしょうか。次のセクションでは、これらの問題が生じる根本的な原因を深掘りします。</w:t>
      </w:r>
    </w:p>
    <w:p w14:paraId="3F8E1A23"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sz w:val="21"/>
          <w:szCs w:val="21"/>
        </w:rPr>
        <w:t>--------------------------------------------------------------------------------</w:t>
      </w:r>
    </w:p>
    <w:p w14:paraId="498D8682" w14:textId="77777777" w:rsidR="00B333BC" w:rsidRPr="00902439" w:rsidRDefault="00824208">
      <w:pPr>
        <w:pStyle w:val="Heading2"/>
        <w:keepNext w:val="0"/>
        <w:keepLines w:val="0"/>
        <w:spacing w:after="80"/>
        <w:rPr>
          <w:rFonts w:ascii="Meiryo UI" w:eastAsia="Meiryo UI" w:hAnsi="Meiryo UI"/>
          <w:b/>
          <w:bCs/>
        </w:rPr>
      </w:pPr>
      <w:bookmarkStart w:id="7" w:name="_gzp08zkuwhjp" w:colFirst="0" w:colLast="0"/>
      <w:bookmarkEnd w:id="7"/>
      <w:r w:rsidRPr="00902439">
        <w:rPr>
          <w:rFonts w:ascii="Meiryo UI" w:eastAsia="Meiryo UI" w:hAnsi="Meiryo UI" w:cs="Arial Unicode MS"/>
          <w:b/>
          <w:bCs/>
        </w:rPr>
        <w:t>2. 課題の根本原因と「ガラパゴス化」のリスク</w:t>
      </w:r>
    </w:p>
    <w:p w14:paraId="556E023E"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表面的な問題を解決するには、その背景にある構造的な要因を理解することが不可欠です。国内先物ポストトレード業務が抱える課題の根底には、業界標準の不在と、グローバルな潮流から乖離した日本独自の商慣行、いわゆる「ガラパゴス化」があります。この「ガラパゴス化」が、いかに日本市場全体の競争力を削いでいるかを明らかにします。</w:t>
      </w:r>
    </w:p>
    <w:p w14:paraId="7858D644"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8" w:name="_mz2fjwtt093j" w:colFirst="0" w:colLast="0"/>
      <w:bookmarkEnd w:id="8"/>
      <w:r w:rsidRPr="00902439">
        <w:rPr>
          <w:rFonts w:ascii="Meiryo UI" w:eastAsia="Meiryo UI" w:hAnsi="Meiryo UI" w:cs="Arial Unicode MS"/>
          <w:b/>
          <w:bCs/>
          <w:color w:val="000000"/>
          <w:sz w:val="24"/>
          <w:szCs w:val="24"/>
        </w:rPr>
        <w:t>2.1. 業界標準の不在と曖昧なガイドライン</w:t>
      </w:r>
    </w:p>
    <w:p w14:paraId="0320F56E"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数々の非効率を生み出す最大の原因は、ポストトレード業務における明確な業界標準が存在しないことにあります。JSDA（日本証券業協会）やOSE（大阪取引所）が平均単価の利用に関するガイダンスを公表していますが、その記述には解釈の余地が多く残されています。</w:t>
      </w:r>
    </w:p>
    <w:p w14:paraId="227420DB" w14:textId="71F02E5F" w:rsidR="00B333BC" w:rsidRPr="00BA03E7" w:rsidRDefault="00824208">
      <w:pPr>
        <w:spacing w:before="240" w:after="240"/>
        <w:rPr>
          <w:rFonts w:ascii="Meiryo UI" w:eastAsia="Meiryo UI" w:hAnsi="Meiryo UI" w:cs="Arial Unicode MS"/>
          <w:sz w:val="21"/>
          <w:szCs w:val="21"/>
        </w:rPr>
      </w:pPr>
      <w:r w:rsidRPr="00902439">
        <w:rPr>
          <w:rFonts w:ascii="Meiryo UI" w:eastAsia="Meiryo UI" w:hAnsi="Meiryo UI" w:cs="Arial Unicode MS"/>
          <w:sz w:val="21"/>
          <w:szCs w:val="21"/>
        </w:rPr>
        <w:lastRenderedPageBreak/>
        <w:t>特に問題なのは、平均単価から</w:t>
      </w:r>
      <w:r w:rsidR="00BA03E7">
        <w:rPr>
          <w:rFonts w:ascii="Meiryo UI" w:eastAsia="Meiryo UI" w:hAnsi="Meiryo UI" w:cs="Arial Unicode MS" w:hint="eastAsia"/>
          <w:sz w:val="21"/>
          <w:szCs w:val="21"/>
        </w:rPr>
        <w:t>評価損益・実現損益</w:t>
      </w:r>
      <w:r w:rsidRPr="00902439">
        <w:rPr>
          <w:rFonts w:ascii="Meiryo UI" w:eastAsia="Meiryo UI" w:hAnsi="Meiryo UI" w:cs="Arial Unicode MS"/>
          <w:sz w:val="21"/>
          <w:szCs w:val="21"/>
        </w:rPr>
        <w:t>を計算する際に生じる「1円未満の端数を切り捨てるタイミング」が明記されていない点です。この曖昧さが、前述した「金額方式」と「単価方式」の混在を許し、照合差異の根本原因となっています。業界全体を律する明確なルールがないため、各社が独自解釈でシステムを構築し、結果として非効率な個別対応が蔓延しているのです。</w:t>
      </w:r>
    </w:p>
    <w:p w14:paraId="5C1D2543"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9" w:name="_12b5dt2idd0p" w:colFirst="0" w:colLast="0"/>
      <w:bookmarkEnd w:id="9"/>
      <w:r w:rsidRPr="00902439">
        <w:rPr>
          <w:rFonts w:ascii="Meiryo UI" w:eastAsia="Meiryo UI" w:hAnsi="Meiryo UI" w:cs="Arial Unicode MS"/>
          <w:b/>
          <w:bCs/>
          <w:color w:val="000000"/>
          <w:sz w:val="24"/>
          <w:szCs w:val="24"/>
        </w:rPr>
        <w:t>2.2. グローバル標準からの乖離が招く非効率</w:t>
      </w:r>
    </w:p>
    <w:p w14:paraId="652B528E"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日本独自の商慣行は、グローバルで進む自動化と標準化の潮流から市場を孤立させるリスクをはらんでいます。その背景には、グローバルで一般的な重要性（マテリアリティ）に基づく許容範囲の考え方よりも、国内取引における絶対的な正確性を優先する文化的傾向も見て取れます。この慣行が、結果として自動化を阻害し、非効率の温床となっているのです。以下の表は、国内外の慣行の違いと、それがもたらす影響を示したものです。</w:t>
      </w:r>
    </w:p>
    <w:tbl>
      <w:tblPr>
        <w:tblStyle w:val="a"/>
        <w:tblW w:w="9360" w:type="dxa"/>
        <w:tblInd w:w="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1090"/>
        <w:gridCol w:w="2075"/>
        <w:gridCol w:w="3409"/>
        <w:gridCol w:w="2786"/>
      </w:tblGrid>
      <w:tr w:rsidR="00B333BC" w:rsidRPr="00902439" w14:paraId="065072DE" w14:textId="77777777">
        <w:trPr>
          <w:trHeight w:val="935"/>
        </w:trPr>
        <w:tc>
          <w:tcPr>
            <w:tcW w:w="1090"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4A0AFBE9"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項目</w:t>
            </w:r>
          </w:p>
        </w:tc>
        <w:tc>
          <w:tcPr>
            <w:tcW w:w="207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226EE9D2"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国内の慣行</w:t>
            </w:r>
          </w:p>
        </w:tc>
        <w:tc>
          <w:tcPr>
            <w:tcW w:w="3408"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140CDE68"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グローバル標準</w:t>
            </w:r>
          </w:p>
        </w:tc>
        <w:tc>
          <w:tcPr>
            <w:tcW w:w="278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4CBCE956"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グローバル標準から乖離することによる影響</w:t>
            </w:r>
          </w:p>
        </w:tc>
      </w:tr>
      <w:tr w:rsidR="00B333BC" w:rsidRPr="00902439" w14:paraId="168EB991" w14:textId="77777777">
        <w:trPr>
          <w:trHeight w:val="1295"/>
        </w:trPr>
        <w:tc>
          <w:tcPr>
            <w:tcW w:w="1090"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57537455" w14:textId="77777777" w:rsidR="00B333BC" w:rsidRPr="00902439" w:rsidRDefault="00824208">
            <w:pPr>
              <w:spacing w:before="240" w:after="240"/>
              <w:rPr>
                <w:rFonts w:ascii="Meiryo UI" w:eastAsia="Meiryo UI" w:hAnsi="Meiryo UI"/>
                <w:b/>
                <w:bCs/>
                <w:sz w:val="21"/>
                <w:szCs w:val="21"/>
              </w:rPr>
            </w:pPr>
            <w:r w:rsidRPr="00902439">
              <w:rPr>
                <w:rFonts w:ascii="Meiryo UI" w:eastAsia="Meiryo UI" w:hAnsi="Meiryo UI" w:cs="Arial Unicode MS"/>
                <w:b/>
                <w:bCs/>
                <w:sz w:val="21"/>
                <w:szCs w:val="21"/>
              </w:rPr>
              <w:t>約定金額計算</w:t>
            </w:r>
          </w:p>
        </w:tc>
        <w:tc>
          <w:tcPr>
            <w:tcW w:w="207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37A2B7DF" w14:textId="363D99D4"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金額方式が主流</w:t>
            </w:r>
            <w:r w:rsidR="00FB4F6E">
              <w:rPr>
                <w:rFonts w:ascii="Meiryo UI" w:eastAsia="Meiryo UI" w:hAnsi="Meiryo UI" w:cs="Arial Unicode MS" w:hint="eastAsia"/>
                <w:sz w:val="21"/>
                <w:szCs w:val="21"/>
              </w:rPr>
              <w:t>、単価方式も混在</w:t>
            </w:r>
          </w:p>
        </w:tc>
        <w:tc>
          <w:tcPr>
            <w:tcW w:w="3408"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7874BB6D"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単価方式</w:t>
            </w:r>
          </w:p>
        </w:tc>
        <w:tc>
          <w:tcPr>
            <w:tcW w:w="278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31474780"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独自仕様のため、グローバルなシステムの導入・連携が困難になる。</w:t>
            </w:r>
          </w:p>
        </w:tc>
      </w:tr>
      <w:tr w:rsidR="00B333BC" w:rsidRPr="00902439" w14:paraId="03C802A0" w14:textId="77777777">
        <w:trPr>
          <w:trHeight w:val="1640"/>
        </w:trPr>
        <w:tc>
          <w:tcPr>
            <w:tcW w:w="1090"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7C71AEC3" w14:textId="77777777" w:rsidR="00B333BC" w:rsidRPr="00902439" w:rsidRDefault="00824208">
            <w:pPr>
              <w:spacing w:before="240" w:after="240"/>
              <w:rPr>
                <w:rFonts w:ascii="Meiryo UI" w:eastAsia="Meiryo UI" w:hAnsi="Meiryo UI"/>
                <w:b/>
                <w:bCs/>
                <w:sz w:val="21"/>
                <w:szCs w:val="21"/>
              </w:rPr>
            </w:pPr>
            <w:bookmarkStart w:id="10" w:name="_Hlk215676759"/>
            <w:r w:rsidRPr="00902439">
              <w:rPr>
                <w:rFonts w:ascii="Meiryo UI" w:eastAsia="Meiryo UI" w:hAnsi="Meiryo UI" w:cs="Arial Unicode MS"/>
                <w:b/>
                <w:bCs/>
                <w:sz w:val="21"/>
                <w:szCs w:val="21"/>
              </w:rPr>
              <w:t>ギブアップ処理</w:t>
            </w:r>
          </w:p>
        </w:tc>
        <w:tc>
          <w:tcPr>
            <w:tcW w:w="207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304A6CCC" w14:textId="34B16CDD" w:rsidR="00A24A38" w:rsidRPr="00902439" w:rsidRDefault="00A24A38" w:rsidP="00F25837">
            <w:pPr>
              <w:spacing w:before="240" w:after="240"/>
              <w:rPr>
                <w:rFonts w:ascii="Meiryo UI" w:eastAsia="Meiryo UI" w:hAnsi="Meiryo UI"/>
                <w:sz w:val="21"/>
                <w:szCs w:val="21"/>
              </w:rPr>
            </w:pPr>
            <w:r w:rsidRPr="00A24A38">
              <w:rPr>
                <w:rFonts w:ascii="Meiryo UI" w:eastAsia="Meiryo UI" w:hAnsi="Meiryo UI" w:hint="eastAsia"/>
                <w:sz w:val="21"/>
                <w:szCs w:val="21"/>
              </w:rPr>
              <w:t>国内先物口座ステートメント配信時限が取引所のギブアップ申告時限よりも早く配信されるため、ギブアップが国内口座で活用普及できない。</w:t>
            </w:r>
          </w:p>
        </w:tc>
        <w:tc>
          <w:tcPr>
            <w:tcW w:w="3408"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323C8EA0"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b/>
                <w:bCs/>
                <w:sz w:val="21"/>
                <w:szCs w:val="21"/>
              </w:rPr>
              <w:t>FIA（国際先物業協会）がグローバルに提唱するDMIST</w:t>
            </w:r>
            <w:r w:rsidRPr="00902439">
              <w:rPr>
                <w:rFonts w:ascii="Meiryo UI" w:eastAsia="Meiryo UI" w:hAnsi="Meiryo UI" w:cs="Arial Unicode MS"/>
                <w:sz w:val="21"/>
                <w:szCs w:val="21"/>
              </w:rPr>
              <w:t>の「30-30-30ルール」（約定後30分以内）</w:t>
            </w:r>
          </w:p>
        </w:tc>
        <w:tc>
          <w:tcPr>
            <w:tcW w:w="278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583852A9"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ポストトレード処理が著しく遅延し、リアルタイムでのリスク管理を阻害する。</w:t>
            </w:r>
          </w:p>
        </w:tc>
      </w:tr>
      <w:bookmarkEnd w:id="10"/>
      <w:tr w:rsidR="00B333BC" w:rsidRPr="00902439" w14:paraId="7A8BA154" w14:textId="77777777">
        <w:trPr>
          <w:trHeight w:val="1640"/>
        </w:trPr>
        <w:tc>
          <w:tcPr>
            <w:tcW w:w="1090"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2B1976D0" w14:textId="77777777" w:rsidR="00B333BC" w:rsidRPr="00902439" w:rsidRDefault="00824208">
            <w:pPr>
              <w:spacing w:before="240" w:after="240"/>
              <w:rPr>
                <w:rFonts w:ascii="Meiryo UI" w:eastAsia="Meiryo UI" w:hAnsi="Meiryo UI"/>
                <w:b/>
                <w:bCs/>
                <w:sz w:val="21"/>
                <w:szCs w:val="21"/>
              </w:rPr>
            </w:pPr>
            <w:r w:rsidRPr="00902439">
              <w:rPr>
                <w:rFonts w:ascii="Meiryo UI" w:eastAsia="Meiryo UI" w:hAnsi="Meiryo UI" w:cs="Arial Unicode MS"/>
                <w:b/>
                <w:bCs/>
                <w:sz w:val="21"/>
                <w:szCs w:val="21"/>
              </w:rPr>
              <w:lastRenderedPageBreak/>
              <w:t>オープン/クローズ指定</w:t>
            </w:r>
          </w:p>
        </w:tc>
        <w:tc>
          <w:tcPr>
            <w:tcW w:w="207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0AEFD65E"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発注時に「新規/決済」フラグの指定が慣行として残存</w:t>
            </w:r>
          </w:p>
        </w:tc>
        <w:tc>
          <w:tcPr>
            <w:tcW w:w="3408"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2DFF8E98"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フラグ指定は不要</w:t>
            </w:r>
          </w:p>
        </w:tc>
        <w:tc>
          <w:tcPr>
            <w:tcW w:w="2785" w:type="dxa"/>
            <w:tcBorders>
              <w:top w:val="single" w:sz="5" w:space="0" w:color="808080"/>
              <w:left w:val="single" w:sz="5" w:space="0" w:color="808080"/>
              <w:bottom w:val="single" w:sz="5" w:space="0" w:color="808080"/>
              <w:right w:val="single" w:sz="5" w:space="0" w:color="808080"/>
            </w:tcBorders>
            <w:tcMar>
              <w:top w:w="100" w:type="dxa"/>
              <w:left w:w="100" w:type="dxa"/>
              <w:bottom w:w="100" w:type="dxa"/>
              <w:right w:w="100" w:type="dxa"/>
            </w:tcMar>
          </w:tcPr>
          <w:p w14:paraId="400E2AC5" w14:textId="7359A3E6"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不要なデータ項目が残り、システム間の連携や</w:t>
            </w:r>
            <w:r w:rsidR="00E97AE2">
              <w:rPr>
                <w:rFonts w:ascii="Meiryo UI" w:eastAsia="Meiryo UI" w:hAnsi="Meiryo UI" w:cs="Arial Unicode MS" w:hint="eastAsia"/>
                <w:sz w:val="21"/>
                <w:szCs w:val="21"/>
              </w:rPr>
              <w:t>建玉決済</w:t>
            </w:r>
            <w:r w:rsidRPr="00902439">
              <w:rPr>
                <w:rFonts w:ascii="Meiryo UI" w:eastAsia="Meiryo UI" w:hAnsi="Meiryo UI" w:cs="Arial Unicode MS"/>
                <w:sz w:val="21"/>
                <w:szCs w:val="21"/>
              </w:rPr>
              <w:t>処理の自動化を妨げる。</w:t>
            </w:r>
          </w:p>
        </w:tc>
      </w:tr>
    </w:tbl>
    <w:p w14:paraId="59B90495"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のように、日本の慣行は多くの点でグローバル標準からかけ離れています。この「ガラパゴス化」は、海外投資家にとっての参入障壁となり、日本市場の国際的な魅力を低下させるだけでなく、国内の市場参加者にとっても、グローバルなベストプラクティスや最新テクノロジーの恩恵を受ける機会を失わせています。</w:t>
      </w:r>
    </w:p>
    <w:p w14:paraId="29F1A5B7"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これらの構造的な課題を乗り越え、市場を近代化するためには、具体的な行動計画が必要です。次のセクションでは、そのための解決策を提示します。</w:t>
      </w:r>
    </w:p>
    <w:p w14:paraId="366F324D"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sz w:val="21"/>
          <w:szCs w:val="21"/>
        </w:rPr>
        <w:t>--------------------------------------------------------------------------------</w:t>
      </w:r>
    </w:p>
    <w:p w14:paraId="62E97F20" w14:textId="77777777" w:rsidR="00B333BC" w:rsidRPr="00902439" w:rsidRDefault="00824208">
      <w:pPr>
        <w:pStyle w:val="Heading2"/>
        <w:keepNext w:val="0"/>
        <w:keepLines w:val="0"/>
        <w:spacing w:after="80"/>
        <w:rPr>
          <w:rFonts w:ascii="Meiryo UI" w:eastAsia="Meiryo UI" w:hAnsi="Meiryo UI"/>
          <w:b/>
          <w:bCs/>
        </w:rPr>
      </w:pPr>
      <w:bookmarkStart w:id="11" w:name="_ckh1dm7o210d" w:colFirst="0" w:colLast="0"/>
      <w:bookmarkEnd w:id="11"/>
      <w:r w:rsidRPr="00902439">
        <w:rPr>
          <w:rFonts w:ascii="Meiryo UI" w:eastAsia="Meiryo UI" w:hAnsi="Meiryo UI" w:cs="Arial Unicode MS"/>
          <w:b/>
          <w:bCs/>
        </w:rPr>
        <w:t>3. 自動化と標準化に向けた具体的な解決策</w:t>
      </w:r>
    </w:p>
    <w:p w14:paraId="32BECF95"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問題提起から具体的な行動計画へ。本章では、これまで分析してきた課題を解決するための具体的な方策を提案します。改革の柱は「標準化」と「自動化」の2つです。業界が連携してルールを統一し、テクノロジーの力で手作業を撲滅することが、現状を打破する原動力となります。</w:t>
      </w:r>
    </w:p>
    <w:p w14:paraId="5D2E629D"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12" w:name="_tzl1og10105n" w:colFirst="0" w:colLast="0"/>
      <w:bookmarkEnd w:id="12"/>
      <w:r w:rsidRPr="00902439">
        <w:rPr>
          <w:rFonts w:ascii="Meiryo UI" w:eastAsia="Meiryo UI" w:hAnsi="Meiryo UI" w:cs="Arial Unicode MS"/>
          <w:b/>
          <w:bCs/>
          <w:color w:val="000000"/>
          <w:sz w:val="24"/>
          <w:szCs w:val="24"/>
        </w:rPr>
        <w:t>3.1. 業界主導によるルールの標準化</w:t>
      </w:r>
    </w:p>
    <w:p w14:paraId="578A18EB"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あらゆる自動化の前提となるのが、業務ルールの標準化です。まずは業界団体が主導し、解釈の余地のない明確な業務ガイドラインを策定することが、最も現実的かつ効果的な第一歩です。具体的には、以下の標準化案を提案します。</w:t>
      </w:r>
    </w:p>
    <w:p w14:paraId="67EAE12F" w14:textId="77777777" w:rsidR="00B333BC" w:rsidRPr="00902439" w:rsidRDefault="00824208">
      <w:pPr>
        <w:numPr>
          <w:ilvl w:val="0"/>
          <w:numId w:val="2"/>
        </w:numPr>
        <w:spacing w:before="240"/>
        <w:rPr>
          <w:rFonts w:ascii="Meiryo UI" w:eastAsia="Meiryo UI" w:hAnsi="Meiryo UI"/>
          <w:sz w:val="21"/>
          <w:szCs w:val="21"/>
        </w:rPr>
      </w:pPr>
      <w:r w:rsidRPr="00902439">
        <w:rPr>
          <w:rFonts w:ascii="Meiryo UI" w:eastAsia="Meiryo UI" w:hAnsi="Meiryo UI" w:cs="Arial Unicode MS"/>
          <w:b/>
          <w:bCs/>
          <w:sz w:val="21"/>
          <w:szCs w:val="21"/>
        </w:rPr>
        <w:t>平均単価計算ルールの統一:</w:t>
      </w:r>
    </w:p>
    <w:p w14:paraId="38CDC4E8" w14:textId="628ADD11" w:rsidR="00B333BC" w:rsidRPr="00902439" w:rsidRDefault="00824208">
      <w:pPr>
        <w:numPr>
          <w:ilvl w:val="1"/>
          <w:numId w:val="2"/>
        </w:numPr>
        <w:rPr>
          <w:rFonts w:ascii="Meiryo UI" w:eastAsia="Meiryo UI" w:hAnsi="Meiryo UI"/>
          <w:sz w:val="21"/>
          <w:szCs w:val="21"/>
        </w:rPr>
      </w:pPr>
      <w:bookmarkStart w:id="13" w:name="_Hlk215677062"/>
      <w:r w:rsidRPr="00902439">
        <w:rPr>
          <w:rFonts w:ascii="Meiryo UI" w:eastAsia="Meiryo UI" w:hAnsi="Meiryo UI" w:cs="Arial Unicode MS"/>
          <w:b/>
          <w:bCs/>
          <w:sz w:val="21"/>
          <w:szCs w:val="21"/>
        </w:rPr>
        <w:t>短期的解決策:</w:t>
      </w:r>
      <w:r w:rsidRPr="00902439">
        <w:rPr>
          <w:rFonts w:ascii="Meiryo UI" w:eastAsia="Meiryo UI" w:hAnsi="Meiryo UI" w:cs="Arial Unicode MS"/>
          <w:sz w:val="21"/>
          <w:szCs w:val="21"/>
        </w:rPr>
        <w:t xml:space="preserve"> </w:t>
      </w:r>
      <w:bookmarkStart w:id="14" w:name="_Hlk215678175"/>
      <w:r w:rsidRPr="00902439">
        <w:rPr>
          <w:rFonts w:ascii="Meiryo UI" w:eastAsia="Meiryo UI" w:hAnsi="Meiryo UI" w:cs="Arial Unicode MS"/>
          <w:sz w:val="21"/>
          <w:szCs w:val="21"/>
        </w:rPr>
        <w:t>まずは</w:t>
      </w:r>
      <w:r w:rsidR="00E97AE2">
        <w:rPr>
          <w:rFonts w:ascii="Meiryo UI" w:eastAsia="Meiryo UI" w:hAnsi="Meiryo UI" w:cs="Arial Unicode MS" w:hint="eastAsia"/>
          <w:sz w:val="21"/>
          <w:szCs w:val="21"/>
        </w:rPr>
        <w:t>現行存在する</w:t>
      </w:r>
      <w:r w:rsidRPr="00902439">
        <w:rPr>
          <w:rFonts w:ascii="Meiryo UI" w:eastAsia="Meiryo UI" w:hAnsi="Meiryo UI" w:cs="Arial Unicode MS"/>
          <w:sz w:val="21"/>
          <w:szCs w:val="21"/>
        </w:rPr>
        <w:t>「</w:t>
      </w:r>
      <w:r w:rsidRPr="00902439">
        <w:rPr>
          <w:rFonts w:ascii="Meiryo UI" w:eastAsia="Meiryo UI" w:hAnsi="Meiryo UI" w:cs="Arial Unicode MS"/>
          <w:b/>
          <w:bCs/>
          <w:sz w:val="21"/>
          <w:szCs w:val="21"/>
        </w:rPr>
        <w:t>金額方式</w:t>
      </w:r>
      <w:r w:rsidRPr="00902439">
        <w:rPr>
          <w:rFonts w:ascii="Meiryo UI" w:eastAsia="Meiryo UI" w:hAnsi="Meiryo UI" w:cs="Arial Unicode MS"/>
          <w:sz w:val="21"/>
          <w:szCs w:val="21"/>
        </w:rPr>
        <w:t>」</w:t>
      </w:r>
      <w:r w:rsidR="00FB4F6E" w:rsidRPr="00902439">
        <w:rPr>
          <w:rFonts w:ascii="Meiryo UI" w:eastAsia="Meiryo UI" w:hAnsi="Meiryo UI" w:cs="Arial Unicode MS"/>
          <w:sz w:val="21"/>
          <w:szCs w:val="21"/>
        </w:rPr>
        <w:t>「</w:t>
      </w:r>
      <w:r w:rsidR="00FB4F6E">
        <w:rPr>
          <w:rFonts w:ascii="Meiryo UI" w:eastAsia="Meiryo UI" w:hAnsi="Meiryo UI" w:cs="Arial Unicode MS" w:hint="eastAsia"/>
          <w:b/>
          <w:bCs/>
          <w:sz w:val="21"/>
          <w:szCs w:val="21"/>
        </w:rPr>
        <w:t>単価</w:t>
      </w:r>
      <w:r w:rsidR="00FB4F6E" w:rsidRPr="00902439">
        <w:rPr>
          <w:rFonts w:ascii="Meiryo UI" w:eastAsia="Meiryo UI" w:hAnsi="Meiryo UI" w:cs="Arial Unicode MS"/>
          <w:b/>
          <w:bCs/>
          <w:sz w:val="21"/>
          <w:szCs w:val="21"/>
        </w:rPr>
        <w:t>方式</w:t>
      </w:r>
      <w:r w:rsidR="00FB4F6E" w:rsidRPr="00902439">
        <w:rPr>
          <w:rFonts w:ascii="Meiryo UI" w:eastAsia="Meiryo UI" w:hAnsi="Meiryo UI" w:cs="Arial Unicode MS"/>
          <w:sz w:val="21"/>
          <w:szCs w:val="21"/>
        </w:rPr>
        <w:t>」</w:t>
      </w:r>
      <w:r w:rsidRPr="00902439">
        <w:rPr>
          <w:rFonts w:ascii="Meiryo UI" w:eastAsia="Meiryo UI" w:hAnsi="Meiryo UI" w:cs="Arial Unicode MS"/>
          <w:sz w:val="21"/>
          <w:szCs w:val="21"/>
        </w:rPr>
        <w:t>の</w:t>
      </w:r>
      <w:r w:rsidR="00FB4F6E">
        <w:rPr>
          <w:rFonts w:ascii="Meiryo UI" w:eastAsia="Meiryo UI" w:hAnsi="Meiryo UI" w:cs="Arial Unicode MS" w:hint="eastAsia"/>
          <w:sz w:val="21"/>
          <w:szCs w:val="21"/>
        </w:rPr>
        <w:t>各</w:t>
      </w:r>
      <w:r w:rsidRPr="00902439">
        <w:rPr>
          <w:rFonts w:ascii="Meiryo UI" w:eastAsia="Meiryo UI" w:hAnsi="Meiryo UI" w:cs="Arial Unicode MS"/>
          <w:sz w:val="21"/>
          <w:szCs w:val="21"/>
        </w:rPr>
        <w:t>計算ロジックを</w:t>
      </w:r>
      <w:r w:rsidR="00FB4F6E">
        <w:rPr>
          <w:rFonts w:ascii="Meiryo UI" w:eastAsia="Meiryo UI" w:hAnsi="Meiryo UI" w:cs="Arial Unicode MS" w:hint="eastAsia"/>
          <w:sz w:val="21"/>
          <w:szCs w:val="21"/>
        </w:rPr>
        <w:t>統一し、</w:t>
      </w:r>
      <w:r w:rsidRPr="00902439">
        <w:rPr>
          <w:rFonts w:ascii="Meiryo UI" w:eastAsia="Meiryo UI" w:hAnsi="Meiryo UI" w:cs="Arial Unicode MS"/>
          <w:sz w:val="21"/>
          <w:szCs w:val="21"/>
        </w:rPr>
        <w:t>関係者間で差異が発生しないルールを策定します。</w:t>
      </w:r>
    </w:p>
    <w:bookmarkEnd w:id="13"/>
    <w:bookmarkEnd w:id="14"/>
    <w:p w14:paraId="4907C349" w14:textId="77777777" w:rsidR="00B333BC" w:rsidRPr="00902439" w:rsidRDefault="00824208">
      <w:pPr>
        <w:numPr>
          <w:ilvl w:val="1"/>
          <w:numId w:val="2"/>
        </w:numPr>
        <w:rPr>
          <w:rFonts w:ascii="Meiryo UI" w:eastAsia="Meiryo UI" w:hAnsi="Meiryo UI"/>
          <w:sz w:val="21"/>
          <w:szCs w:val="21"/>
        </w:rPr>
      </w:pPr>
      <w:r w:rsidRPr="00902439">
        <w:rPr>
          <w:rFonts w:ascii="Meiryo UI" w:eastAsia="Meiryo UI" w:hAnsi="Meiryo UI" w:cs="Arial Unicode MS"/>
          <w:b/>
          <w:bCs/>
          <w:sz w:val="21"/>
          <w:szCs w:val="21"/>
        </w:rPr>
        <w:t>中長期的目標:</w:t>
      </w:r>
      <w:r w:rsidRPr="00902439">
        <w:rPr>
          <w:rFonts w:ascii="Meiryo UI" w:eastAsia="Meiryo UI" w:hAnsi="Meiryo UI" w:cs="Arial Unicode MS"/>
          <w:sz w:val="21"/>
          <w:szCs w:val="21"/>
        </w:rPr>
        <w:t xml:space="preserve"> グローバル標準である「</w:t>
      </w:r>
      <w:r w:rsidRPr="00902439">
        <w:rPr>
          <w:rFonts w:ascii="Meiryo UI" w:eastAsia="Meiryo UI" w:hAnsi="Meiryo UI" w:cs="Arial Unicode MS"/>
          <w:b/>
          <w:bCs/>
          <w:sz w:val="21"/>
          <w:szCs w:val="21"/>
        </w:rPr>
        <w:t>単価方式</w:t>
      </w:r>
      <w:r w:rsidRPr="00902439">
        <w:rPr>
          <w:rFonts w:ascii="Meiryo UI" w:eastAsia="Meiryo UI" w:hAnsi="Meiryo UI" w:cs="Arial Unicode MS"/>
          <w:sz w:val="21"/>
          <w:szCs w:val="21"/>
        </w:rPr>
        <w:t>」への移行に向けたロードマップを策定し、国際的な整合性を図ります。</w:t>
      </w:r>
    </w:p>
    <w:p w14:paraId="49DB9A8A" w14:textId="21244E0A" w:rsidR="00B333BC" w:rsidRPr="00902439" w:rsidRDefault="00E97AE2">
      <w:pPr>
        <w:numPr>
          <w:ilvl w:val="0"/>
          <w:numId w:val="2"/>
        </w:numPr>
        <w:rPr>
          <w:rFonts w:ascii="Meiryo UI" w:eastAsia="Meiryo UI" w:hAnsi="Meiryo UI"/>
          <w:sz w:val="21"/>
          <w:szCs w:val="21"/>
        </w:rPr>
      </w:pPr>
      <w:r>
        <w:rPr>
          <w:rFonts w:ascii="Meiryo UI" w:eastAsia="Meiryo UI" w:hAnsi="Meiryo UI" w:cs="Arial Unicode MS" w:hint="eastAsia"/>
          <w:b/>
          <w:bCs/>
          <w:sz w:val="21"/>
          <w:szCs w:val="21"/>
        </w:rPr>
        <w:t>建玉決済</w:t>
      </w:r>
      <w:r w:rsidR="00824208" w:rsidRPr="00902439">
        <w:rPr>
          <w:rFonts w:ascii="Meiryo UI" w:eastAsia="Meiryo UI" w:hAnsi="Meiryo UI" w:cs="Arial Unicode MS"/>
          <w:b/>
          <w:bCs/>
          <w:sz w:val="21"/>
          <w:szCs w:val="21"/>
        </w:rPr>
        <w:t>ロジックの集約:</w:t>
      </w:r>
    </w:p>
    <w:p w14:paraId="08C483DE" w14:textId="08D28FB5" w:rsidR="00B333BC" w:rsidRPr="00902439" w:rsidRDefault="00E97AE2">
      <w:pPr>
        <w:numPr>
          <w:ilvl w:val="1"/>
          <w:numId w:val="2"/>
        </w:numPr>
        <w:rPr>
          <w:rFonts w:ascii="Meiryo UI" w:eastAsia="Meiryo UI" w:hAnsi="Meiryo UI"/>
          <w:sz w:val="21"/>
          <w:szCs w:val="21"/>
        </w:rPr>
      </w:pPr>
      <w:r>
        <w:rPr>
          <w:rFonts w:ascii="Meiryo UI" w:eastAsia="Meiryo UI" w:hAnsi="Meiryo UI" w:cs="Arial Unicode MS" w:hint="eastAsia"/>
          <w:b/>
          <w:bCs/>
          <w:sz w:val="21"/>
          <w:szCs w:val="21"/>
        </w:rPr>
        <w:lastRenderedPageBreak/>
        <w:t>建玉決済</w:t>
      </w:r>
      <w:r w:rsidR="00824208" w:rsidRPr="00902439">
        <w:rPr>
          <w:rFonts w:ascii="Meiryo UI" w:eastAsia="Meiryo UI" w:hAnsi="Meiryo UI" w:cs="Arial Unicode MS"/>
          <w:sz w:val="21"/>
          <w:szCs w:val="21"/>
        </w:rPr>
        <w:t>ロジックの標準化にあたり、本イニシアチブが主要ブローカー各社に実施したヒアリングから、極めて重要なコンセンサスが明らかになりました。それは、「</w:t>
      </w:r>
      <w:r w:rsidR="00824208" w:rsidRPr="00902439">
        <w:rPr>
          <w:rFonts w:ascii="Meiryo UI" w:eastAsia="Meiryo UI" w:hAnsi="Meiryo UI" w:cs="Arial Unicode MS"/>
          <w:b/>
          <w:bCs/>
          <w:sz w:val="21"/>
          <w:szCs w:val="21"/>
        </w:rPr>
        <w:t>取引日の古い順、同日内は価格の安い順</w:t>
      </w:r>
      <w:r w:rsidR="00824208" w:rsidRPr="00902439">
        <w:rPr>
          <w:rFonts w:ascii="Meiryo UI" w:eastAsia="Meiryo UI" w:hAnsi="Meiryo UI" w:cs="Arial Unicode MS"/>
          <w:sz w:val="21"/>
          <w:szCs w:val="21"/>
        </w:rPr>
        <w:t>」というロジックが、すでに大多数のブローカーで共通して対応可能であるという事実です。この発見は、業界標準化への最も現実的かつ低コストな道筋を示すものです。このロジックを標準パターンとして推奨します。</w:t>
      </w:r>
    </w:p>
    <w:p w14:paraId="7603860E" w14:textId="77777777" w:rsidR="00B333BC" w:rsidRPr="00902439" w:rsidRDefault="00824208">
      <w:pPr>
        <w:numPr>
          <w:ilvl w:val="1"/>
          <w:numId w:val="2"/>
        </w:numPr>
        <w:rPr>
          <w:rFonts w:ascii="Meiryo UI" w:eastAsia="Meiryo UI" w:hAnsi="Meiryo UI"/>
          <w:sz w:val="21"/>
          <w:szCs w:val="21"/>
        </w:rPr>
      </w:pPr>
      <w:r w:rsidRPr="00902439">
        <w:rPr>
          <w:rFonts w:ascii="Meiryo UI" w:eastAsia="Meiryo UI" w:hAnsi="Meiryo UI" w:cs="Arial Unicode MS"/>
          <w:sz w:val="21"/>
          <w:szCs w:val="21"/>
        </w:rPr>
        <w:t>これに加えて、その他1〜2パターンの標準ロジックを定義し、顧客の選択肢を限定することで、複雑なカスタムロジックの廃止を段階的に目指します。</w:t>
      </w:r>
    </w:p>
    <w:p w14:paraId="003ABFF3" w14:textId="77777777" w:rsidR="00B333BC" w:rsidRPr="00902439" w:rsidRDefault="00824208">
      <w:pPr>
        <w:numPr>
          <w:ilvl w:val="0"/>
          <w:numId w:val="2"/>
        </w:numPr>
        <w:rPr>
          <w:rFonts w:ascii="Meiryo UI" w:eastAsia="Meiryo UI" w:hAnsi="Meiryo UI"/>
          <w:sz w:val="21"/>
          <w:szCs w:val="21"/>
        </w:rPr>
      </w:pPr>
      <w:r w:rsidRPr="00902439">
        <w:rPr>
          <w:rFonts w:ascii="Meiryo UI" w:eastAsia="Meiryo UI" w:hAnsi="Meiryo UI" w:cs="Arial Unicode MS"/>
          <w:b/>
          <w:bCs/>
          <w:sz w:val="21"/>
          <w:szCs w:val="21"/>
        </w:rPr>
        <w:t>「新規/決済」区分の扱い:</w:t>
      </w:r>
    </w:p>
    <w:p w14:paraId="68E2804D" w14:textId="10DFBD77" w:rsidR="00B333BC" w:rsidRPr="00902439" w:rsidRDefault="00824208">
      <w:pPr>
        <w:numPr>
          <w:ilvl w:val="1"/>
          <w:numId w:val="2"/>
        </w:numPr>
        <w:spacing w:after="240"/>
        <w:rPr>
          <w:rFonts w:ascii="Meiryo UI" w:eastAsia="Meiryo UI" w:hAnsi="Meiryo UI"/>
          <w:sz w:val="21"/>
          <w:szCs w:val="21"/>
        </w:rPr>
      </w:pPr>
      <w:r w:rsidRPr="00902439">
        <w:rPr>
          <w:rFonts w:ascii="Meiryo UI" w:eastAsia="Meiryo UI" w:hAnsi="Meiryo UI" w:cs="Arial Unicode MS"/>
          <w:sz w:val="21"/>
          <w:szCs w:val="21"/>
        </w:rPr>
        <w:t>顧客との口座開設時に、事前に合意した</w:t>
      </w:r>
      <w:r w:rsidR="00E97AE2">
        <w:rPr>
          <w:rFonts w:ascii="Meiryo UI" w:eastAsia="Meiryo UI" w:hAnsi="Meiryo UI" w:cs="Arial Unicode MS" w:hint="eastAsia"/>
          <w:b/>
          <w:bCs/>
          <w:sz w:val="21"/>
          <w:szCs w:val="21"/>
        </w:rPr>
        <w:t>建玉決済</w:t>
      </w:r>
      <w:r w:rsidRPr="00902439">
        <w:rPr>
          <w:rFonts w:ascii="Meiryo UI" w:eastAsia="Meiryo UI" w:hAnsi="Meiryo UI" w:cs="Arial Unicode MS"/>
          <w:sz w:val="21"/>
          <w:szCs w:val="21"/>
        </w:rPr>
        <w:t>ロジックに基づいて決済することを約諾する枠組みを構築します。大阪取引所の受託契約準則では、このような事前合意があれば注文ごとの指定は不要と解釈できるため、発注の都度「新規/決済」区分を指定する非効率な慣行を根本からなくすことが可能です。</w:t>
      </w:r>
    </w:p>
    <w:p w14:paraId="5460FE90" w14:textId="77777777" w:rsidR="00B333BC" w:rsidRPr="00902439" w:rsidRDefault="00824208">
      <w:pPr>
        <w:pStyle w:val="Heading3"/>
        <w:keepNext w:val="0"/>
        <w:keepLines w:val="0"/>
        <w:spacing w:before="280"/>
        <w:rPr>
          <w:rFonts w:ascii="Meiryo UI" w:eastAsia="Meiryo UI" w:hAnsi="Meiryo UI"/>
          <w:b/>
          <w:bCs/>
          <w:color w:val="000000"/>
          <w:sz w:val="24"/>
          <w:szCs w:val="24"/>
        </w:rPr>
      </w:pPr>
      <w:bookmarkStart w:id="15" w:name="_30kl78d4b3hk" w:colFirst="0" w:colLast="0"/>
      <w:bookmarkEnd w:id="15"/>
      <w:r w:rsidRPr="00902439">
        <w:rPr>
          <w:rFonts w:ascii="Meiryo UI" w:eastAsia="Meiryo UI" w:hAnsi="Meiryo UI" w:cs="Arial Unicode MS"/>
          <w:b/>
          <w:bCs/>
          <w:color w:val="000000"/>
          <w:sz w:val="24"/>
          <w:szCs w:val="24"/>
        </w:rPr>
        <w:t>3.2. テクノロジー活用によるプロセスの自動化</w:t>
      </w:r>
    </w:p>
    <w:p w14:paraId="2812B474"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標準化されたルールを土台に、テクノロジーを活用して手作業を撲滅し、STP（ストレート・スルー・プロセッシング）を実現します。特に、課題となっていた「二重の照合」プロセスは、既存の技術やサービスを応用することで抜本的に改革できます。</w:t>
      </w:r>
    </w:p>
    <w:p w14:paraId="70A18D52" w14:textId="77777777" w:rsidR="00B333BC" w:rsidRPr="00902439" w:rsidRDefault="00824208">
      <w:pPr>
        <w:numPr>
          <w:ilvl w:val="0"/>
          <w:numId w:val="1"/>
        </w:numPr>
        <w:spacing w:before="240"/>
        <w:rPr>
          <w:rFonts w:ascii="Meiryo UI" w:eastAsia="Meiryo UI" w:hAnsi="Meiryo UI"/>
          <w:sz w:val="21"/>
          <w:szCs w:val="21"/>
        </w:rPr>
      </w:pPr>
      <w:r w:rsidRPr="00902439">
        <w:rPr>
          <w:rFonts w:ascii="Meiryo UI" w:eastAsia="Meiryo UI" w:hAnsi="Meiryo UI" w:cs="Arial Unicode MS"/>
          <w:b/>
          <w:bCs/>
          <w:sz w:val="21"/>
          <w:szCs w:val="21"/>
        </w:rPr>
        <w:t>FIXプロトコルの活用:</w:t>
      </w:r>
      <w:r w:rsidRPr="00902439">
        <w:rPr>
          <w:rFonts w:ascii="Meiryo UI" w:eastAsia="Meiryo UI" w:hAnsi="Meiryo UI" w:cs="Arial Unicode MS"/>
          <w:sz w:val="21"/>
          <w:szCs w:val="21"/>
        </w:rPr>
        <w:t xml:space="preserve"> 株式取引では既に広く普及し、ブローカー各社が習熟しているFIXプロトコルのインフラを、先物取引のアロケーション（配分）情報の伝達にも応用します。これにより、これまで手作業で行われていた情報伝達を自動化・標準化し、迅速かつ正確なデータ連携を実現します。</w:t>
      </w:r>
    </w:p>
    <w:p w14:paraId="00B77210" w14:textId="77777777" w:rsidR="00B333BC" w:rsidRPr="00902439" w:rsidRDefault="00824208">
      <w:pPr>
        <w:numPr>
          <w:ilvl w:val="0"/>
          <w:numId w:val="1"/>
        </w:numPr>
        <w:spacing w:after="240"/>
        <w:rPr>
          <w:rFonts w:ascii="Meiryo UI" w:eastAsia="Meiryo UI" w:hAnsi="Meiryo UI"/>
          <w:sz w:val="21"/>
          <w:szCs w:val="21"/>
        </w:rPr>
      </w:pPr>
      <w:r w:rsidRPr="00902439">
        <w:rPr>
          <w:rFonts w:ascii="Meiryo UI" w:eastAsia="Meiryo UI" w:hAnsi="Meiryo UI" w:cs="Arial Unicode MS"/>
          <w:b/>
          <w:bCs/>
          <w:sz w:val="21"/>
          <w:szCs w:val="21"/>
        </w:rPr>
        <w:t>オンラインマッチングサービスの導入:</w:t>
      </w:r>
      <w:r w:rsidRPr="00902439">
        <w:rPr>
          <w:rFonts w:ascii="Meiryo UI" w:eastAsia="Meiryo UI" w:hAnsi="Meiryo UI" w:cs="Arial Unicode MS"/>
          <w:sz w:val="21"/>
          <w:szCs w:val="21"/>
        </w:rPr>
        <w:t xml:space="preserve"> Broadridge社の「NYFIX Matching」やOsttra社の「Triana」といったグローバルなプラットフォームを活用します。これらのサービスは、バイサイド（運用会社）とブローカー間の約定照合をオンライン上でリアルタイムに完結させることができます。この仕組みを導入すれば、バイサイドとブローカー間で照合が完了した段階で取引データが確定するため、その後の信託銀行との二重照合プロセスそのものが不要になります。</w:t>
      </w:r>
    </w:p>
    <w:p w14:paraId="189F7940"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これらのテクノロジーを導入することで、これまで分断されていたワークフローが統合され、約定から決済までのプロセスが飛躍的に効率化・高速化されるのです。</w:t>
      </w:r>
    </w:p>
    <w:p w14:paraId="38FB50E3"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sz w:val="21"/>
          <w:szCs w:val="21"/>
        </w:rPr>
        <w:t>--------------------------------------------------------------------------------</w:t>
      </w:r>
    </w:p>
    <w:p w14:paraId="1C5AE221" w14:textId="77777777" w:rsidR="00B333BC" w:rsidRPr="00902439" w:rsidRDefault="00824208">
      <w:pPr>
        <w:pStyle w:val="Heading2"/>
        <w:keepNext w:val="0"/>
        <w:keepLines w:val="0"/>
        <w:spacing w:after="80"/>
        <w:rPr>
          <w:rFonts w:ascii="Meiryo UI" w:eastAsia="Meiryo UI" w:hAnsi="Meiryo UI"/>
          <w:b/>
          <w:bCs/>
        </w:rPr>
      </w:pPr>
      <w:bookmarkStart w:id="16" w:name="_pg14tt1vp2b1" w:colFirst="0" w:colLast="0"/>
      <w:bookmarkEnd w:id="16"/>
      <w:r w:rsidRPr="00902439">
        <w:rPr>
          <w:rFonts w:ascii="Meiryo UI" w:eastAsia="Meiryo UI" w:hAnsi="Meiryo UI" w:cs="Arial Unicode MS"/>
          <w:b/>
          <w:bCs/>
        </w:rPr>
        <w:t>結論：日本市場の競争力強化に向けた業界全体の責務</w:t>
      </w:r>
    </w:p>
    <w:p w14:paraId="65A1DD0F" w14:textId="7274463C"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lastRenderedPageBreak/>
        <w:t>本ホワイトペーパーでは、国内先物ポストトレード業務が抱える根深い課題を明らかにしてきました。平均単価の計算ロジックの不統一が引き起こす「1円の攻防」、ジャパンカスタマイズされた複雑な</w:t>
      </w:r>
      <w:r w:rsidR="00E97AE2">
        <w:rPr>
          <w:rFonts w:ascii="Meiryo UI" w:eastAsia="Meiryo UI" w:hAnsi="Meiryo UI" w:cs="Arial Unicode MS" w:hint="eastAsia"/>
          <w:sz w:val="21"/>
          <w:szCs w:val="21"/>
        </w:rPr>
        <w:t>建玉決済</w:t>
      </w:r>
      <w:r w:rsidRPr="00902439">
        <w:rPr>
          <w:rFonts w:ascii="Meiryo UI" w:eastAsia="Meiryo UI" w:hAnsi="Meiryo UI" w:cs="Arial Unicode MS"/>
          <w:sz w:val="21"/>
          <w:szCs w:val="21"/>
        </w:rPr>
        <w:t>ロジック、そして二重照合に象徴される非効率なワークフロー。これらは単なる個別の問題ではなく、業界標準の不在とグローバルな潮流からの乖離、すなわち「ガラパゴス化」という構造的な要因から生じています。</w:t>
      </w:r>
    </w:p>
    <w:p w14:paraId="0DAA76D2" w14:textId="77777777"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この現状を放置することは、高いオペレーションコストと潜在的なリスクを抱え続けるだけでなく、日本市場の国際的な信頼性や透明性を損ない、ひいては競争力の低下を招くことに他なりません。</w:t>
      </w:r>
    </w:p>
    <w:p w14:paraId="5F9D1F1E" w14:textId="71B75AFD"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本稿で提示した解決策——</w:t>
      </w:r>
      <w:r w:rsidRPr="00902439">
        <w:rPr>
          <w:rFonts w:ascii="Meiryo UI" w:eastAsia="Meiryo UI" w:hAnsi="Meiryo UI" w:cs="Arial Unicode MS"/>
          <w:b/>
          <w:bCs/>
          <w:sz w:val="21"/>
          <w:szCs w:val="21"/>
        </w:rPr>
        <w:t>業界主導によるルールの標準化</w:t>
      </w:r>
      <w:r w:rsidRPr="00902439">
        <w:rPr>
          <w:rFonts w:ascii="Meiryo UI" w:eastAsia="Meiryo UI" w:hAnsi="Meiryo UI" w:cs="Arial Unicode MS"/>
          <w:sz w:val="21"/>
          <w:szCs w:val="21"/>
        </w:rPr>
        <w:t>と</w:t>
      </w:r>
      <w:r w:rsidRPr="00902439">
        <w:rPr>
          <w:rFonts w:ascii="Meiryo UI" w:eastAsia="Meiryo UI" w:hAnsi="Meiryo UI" w:cs="Arial Unicode MS"/>
          <w:b/>
          <w:bCs/>
          <w:sz w:val="21"/>
          <w:szCs w:val="21"/>
        </w:rPr>
        <w:t>テクノロジー活用によるプロセスの自動化</w:t>
      </w:r>
      <w:r w:rsidRPr="00902439">
        <w:rPr>
          <w:rFonts w:ascii="Meiryo UI" w:eastAsia="Meiryo UI" w:hAnsi="Meiryo UI" w:cs="Arial Unicode MS"/>
          <w:sz w:val="21"/>
          <w:szCs w:val="21"/>
        </w:rPr>
        <w:t>——は、この閉塞感を打破するための具体的な処方箋です。計算ルールや</w:t>
      </w:r>
      <w:r w:rsidR="00E97AE2">
        <w:rPr>
          <w:rFonts w:ascii="Meiryo UI" w:eastAsia="Meiryo UI" w:hAnsi="Meiryo UI" w:cs="Arial Unicode MS" w:hint="eastAsia"/>
          <w:sz w:val="21"/>
          <w:szCs w:val="21"/>
        </w:rPr>
        <w:t>建玉決済</w:t>
      </w:r>
      <w:r w:rsidRPr="00902439">
        <w:rPr>
          <w:rFonts w:ascii="Meiryo UI" w:eastAsia="Meiryo UI" w:hAnsi="Meiryo UI" w:cs="Arial Unicode MS"/>
          <w:sz w:val="21"/>
          <w:szCs w:val="21"/>
        </w:rPr>
        <w:t>ロジックを統一し、オンラインマッチングサービスを導入することは、個社の業務効率化に留まらず、市場全体の生産性を飛躍的に向上させる可能性を秘めています。これは、政府が掲げる「資産運用立国」の実現を支える、不可欠なインフラ投資と言えるでしょう。</w:t>
      </w:r>
    </w:p>
    <w:p w14:paraId="29BFB105" w14:textId="222A8B08" w:rsidR="00B333BC" w:rsidRPr="00902439" w:rsidRDefault="00824208">
      <w:pPr>
        <w:spacing w:before="240" w:after="240"/>
        <w:rPr>
          <w:rFonts w:ascii="Meiryo UI" w:eastAsia="Meiryo UI" w:hAnsi="Meiryo UI"/>
          <w:sz w:val="21"/>
          <w:szCs w:val="21"/>
        </w:rPr>
      </w:pPr>
      <w:r w:rsidRPr="00902439">
        <w:rPr>
          <w:rFonts w:ascii="Meiryo UI" w:eastAsia="Meiryo UI" w:hAnsi="Meiryo UI" w:cs="Arial Unicode MS"/>
          <w:sz w:val="21"/>
          <w:szCs w:val="21"/>
        </w:rPr>
        <w:t>この改革は、一社単独の努力では成し遂げられません。証券会社、運用会社、信託銀行、システムベンダー、そして取引所—すべての市場参加者が当事者意識を持ち、業界全体の最適化という共通の目標に向かって協力する責務があります。今こそ、積年の課題に終止符を打ち、デジタル化とグローバル化の潮流に乗ることで、日本の金融市場を次のステージへと進化させるための具体的な行動を起こす時です。</w:t>
      </w:r>
    </w:p>
    <w:p w14:paraId="39F6CE9B" w14:textId="77777777" w:rsidR="00B333BC" w:rsidRPr="00902439" w:rsidRDefault="00B333BC">
      <w:pPr>
        <w:rPr>
          <w:rFonts w:ascii="Meiryo UI" w:eastAsia="Meiryo UI" w:hAnsi="Meiryo UI"/>
          <w:sz w:val="21"/>
          <w:szCs w:val="21"/>
        </w:rPr>
      </w:pPr>
    </w:p>
    <w:sectPr w:rsidR="00B333BC" w:rsidRPr="0090243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embedRegular r:id="rId1" w:subsetted="1" w:fontKey="{90BF4B86-9188-4745-AE6E-5EE7C8B779E2}"/>
    <w:embedBold r:id="rId2" w:subsetted="1" w:fontKey="{BFE66039-4ED5-4F86-9C66-3458E3460FEF}"/>
  </w:font>
  <w:font w:name="Arial Unicode MS">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173ED37E-1342-4D28-8FD2-633F9A44688D}"/>
  </w:font>
  <w:font w:name="Cambria">
    <w:panose1 w:val="02040503050406030204"/>
    <w:charset w:val="00"/>
    <w:family w:val="roman"/>
    <w:pitch w:val="variable"/>
    <w:sig w:usb0="E00006FF" w:usb1="420024FF" w:usb2="02000000" w:usb3="00000000" w:csb0="0000019F" w:csb1="00000000"/>
    <w:embedRegular r:id="rId4" w:fontKey="{6594E04B-7DF6-4B3C-BE74-493A6AC7A15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F3638"/>
    <w:multiLevelType w:val="multilevel"/>
    <w:tmpl w:val="5F92C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8C7403"/>
    <w:multiLevelType w:val="multilevel"/>
    <w:tmpl w:val="E3086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A74CF6"/>
    <w:multiLevelType w:val="multilevel"/>
    <w:tmpl w:val="87182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2E20EC"/>
    <w:multiLevelType w:val="multilevel"/>
    <w:tmpl w:val="90F6C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5531742">
    <w:abstractNumId w:val="2"/>
  </w:num>
  <w:num w:numId="2" w16cid:durableId="2019307934">
    <w:abstractNumId w:val="3"/>
  </w:num>
  <w:num w:numId="3" w16cid:durableId="1612738362">
    <w:abstractNumId w:val="1"/>
  </w:num>
  <w:num w:numId="4" w16cid:durableId="34618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3BC"/>
    <w:rsid w:val="00013D67"/>
    <w:rsid w:val="00241680"/>
    <w:rsid w:val="003578FE"/>
    <w:rsid w:val="003C7DE7"/>
    <w:rsid w:val="004E4B64"/>
    <w:rsid w:val="005411A1"/>
    <w:rsid w:val="005838EB"/>
    <w:rsid w:val="0075629D"/>
    <w:rsid w:val="00824208"/>
    <w:rsid w:val="00902439"/>
    <w:rsid w:val="00985891"/>
    <w:rsid w:val="009C6DD3"/>
    <w:rsid w:val="00A24A38"/>
    <w:rsid w:val="00B16D53"/>
    <w:rsid w:val="00B333BC"/>
    <w:rsid w:val="00BA03E7"/>
    <w:rsid w:val="00D36A1B"/>
    <w:rsid w:val="00D53CC2"/>
    <w:rsid w:val="00D84D7B"/>
    <w:rsid w:val="00E97AE2"/>
    <w:rsid w:val="00F25837"/>
    <w:rsid w:val="00FB4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062868"/>
  <w15:docId w15:val="{9CB11885-3255-46F9-822B-F0557BC0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table" w:customStyle="1" w:styleId="a">
    <w:basedOn w:val="TableNormal0"/>
    <w:tblPr>
      <w:tblStyleRowBandSize w:val="1"/>
      <w:tblStyleColBandSize w:val="1"/>
    </w:tblPr>
  </w:style>
  <w:style w:type="paragraph" w:styleId="Revision">
    <w:name w:val="Revision"/>
    <w:hidden/>
    <w:uiPriority w:val="99"/>
    <w:semiHidden/>
    <w:rsid w:val="00013D6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e4b212c8-684b-4f75-af72-73d66a92b0d2</TitusGUID>
  <TitusMetadata xmlns="">eyJucyI6Imh0dHA6XC9cL3d3dy50aXR1cy5jb21cL25zXC9Hb2xkbWFuU2FjaHMiLCJwcm9wcyI6W3sibiI6IkRvY05vQ2xhc3MiLCJ2YWxzIjpbeyJ2YWx1ZSI6Ik5vdCBJbiBVc2UifV19XX0=</TitusMetadata>
</titus>
</file>

<file path=customXml/itemProps1.xml><?xml version="1.0" encoding="utf-8"?>
<ds:datastoreItem xmlns:ds="http://schemas.openxmlformats.org/officeDocument/2006/customXml" ds:itemID="{E0515E6F-243B-4140-BD4B-CCE9A34BCD80}">
  <ds:schemaRefs>
    <ds:schemaRef ds:uri="http://schemas.titus.com/TitusProperties/"/>
    <ds:schemaRef ds:uri=""/>
  </ds:schemaRefs>
</ds:datastoreItem>
</file>

<file path=docMetadata/LabelInfo.xml><?xml version="1.0" encoding="utf-8"?>
<clbl:labelList xmlns:clbl="http://schemas.microsoft.com/office/2020/mipLabelMetadata">
  <clbl:label id="{a64882d5-5c68-43ae-b974-91da18426e9b}" enabled="1" method="Standar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893</Words>
  <Characters>5530</Characters>
  <Application>Microsoft Office Word</Application>
  <DocSecurity>0</DocSecurity>
  <Lines>141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Shun Yanagisawa</dc:creator>
  <cp:lastModifiedBy>Yanagisawa, Shun [JP-MKTS]</cp:lastModifiedBy>
  <cp:revision>2</cp:revision>
  <dcterms:created xsi:type="dcterms:W3CDTF">2025-12-03T09:45:00Z</dcterms:created>
  <dcterms:modified xsi:type="dcterms:W3CDTF">2025-12-03T09:45:00Z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e4b212c8-684b-4f75-af72-73d66a92b0d2</vt:lpwstr>
  </property>
  <property fmtid="{D5CDD505-2E9C-101B-9397-08002B2CF9AE}" pid="3" name="DocNoClass">
    <vt:lpwstr>Not In Use</vt:lpwstr>
  </property>
  <property fmtid="{D5CDD505-2E9C-101B-9397-08002B2CF9AE}" pid="4" name="MSIP_Label_d291669d-c62a-41f9-9790-e463798003d8_Enabled">
    <vt:lpwstr>true</vt:lpwstr>
  </property>
  <property fmtid="{D5CDD505-2E9C-101B-9397-08002B2CF9AE}" pid="5" name="MSIP_Label_d291669d-c62a-41f9-9790-e463798003d8_SetDate">
    <vt:lpwstr>2025-12-03T09:32:39Z</vt:lpwstr>
  </property>
  <property fmtid="{D5CDD505-2E9C-101B-9397-08002B2CF9AE}" pid="6" name="MSIP_Label_d291669d-c62a-41f9-9790-e463798003d8_Method">
    <vt:lpwstr>Privileged</vt:lpwstr>
  </property>
  <property fmtid="{D5CDD505-2E9C-101B-9397-08002B2CF9AE}" pid="7" name="MSIP_Label_d291669d-c62a-41f9-9790-e463798003d8_Name">
    <vt:lpwstr>Public</vt:lpwstr>
  </property>
  <property fmtid="{D5CDD505-2E9C-101B-9397-08002B2CF9AE}" pid="8" name="MSIP_Label_d291669d-c62a-41f9-9790-e463798003d8_SiteId">
    <vt:lpwstr>1771ae17-e764-4e0f-a476-d4184d79a5d9</vt:lpwstr>
  </property>
  <property fmtid="{D5CDD505-2E9C-101B-9397-08002B2CF9AE}" pid="9" name="MSIP_Label_d291669d-c62a-41f9-9790-e463798003d8_ActionId">
    <vt:lpwstr>765bfe2d-cb15-471b-92ab-80d2a140f538</vt:lpwstr>
  </property>
  <property fmtid="{D5CDD505-2E9C-101B-9397-08002B2CF9AE}" pid="10" name="MSIP_Label_d291669d-c62a-41f9-9790-e463798003d8_ContentBits">
    <vt:lpwstr>0</vt:lpwstr>
  </property>
  <property fmtid="{D5CDD505-2E9C-101B-9397-08002B2CF9AE}" pid="11" name="MSIP_Label_d291669d-c62a-41f9-9790-e463798003d8_Tag">
    <vt:lpwstr>10, 0, 1, 1</vt:lpwstr>
  </property>
</Properties>
</file>