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4AF88" w14:textId="77777777" w:rsidR="000669EA" w:rsidRPr="005453FB" w:rsidRDefault="00F54783" w:rsidP="00D060FC">
      <w:pPr>
        <w:pStyle w:val="a3"/>
        <w:spacing w:before="0" w:after="0"/>
        <w:contextualSpacing/>
        <w:rPr>
          <w:rFonts w:ascii="BIZ UDPゴシック" w:eastAsia="BIZ UDPゴシック" w:hAnsi="BIZ UDPゴシック" w:cs="Calibri"/>
          <w:sz w:val="36"/>
          <w:szCs w:val="36"/>
        </w:rPr>
      </w:pPr>
      <w:bookmarkStart w:id="0" w:name="国内先物ポストトレード標準化に関する建玉決済方法および平均単価計算方法についての"/>
      <w:r w:rsidRPr="005453FB">
        <w:rPr>
          <w:rFonts w:ascii="BIZ UDPゴシック" w:eastAsia="BIZ UDPゴシック" w:hAnsi="BIZ UDPゴシック" w:cs="Calibri"/>
          <w:sz w:val="36"/>
          <w:szCs w:val="36"/>
        </w:rPr>
        <w:t>国内先物ポストトレード標準化に関する建玉決済方法および平均単価計算方法についての質問票</w:t>
      </w:r>
      <w:bookmarkEnd w:id="0"/>
    </w:p>
    <w:p w14:paraId="2D1EE6E6" w14:textId="6E4CA8E6"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発行：</w:t>
      </w:r>
      <w:r w:rsidRPr="005453FB">
        <w:rPr>
          <w:rFonts w:ascii="BIZ UDPゴシック" w:eastAsia="BIZ UDPゴシック" w:hAnsi="BIZ UDPゴシック" w:cs="Calibri"/>
          <w:sz w:val="18"/>
          <w:szCs w:val="18"/>
        </w:rPr>
        <w:t xml:space="preserve"> FIA Japan オペレーション委員会</w:t>
      </w:r>
      <w:r w:rsidRPr="005453FB">
        <w:rPr>
          <w:rFonts w:ascii="BIZ UDPゴシック" w:eastAsia="BIZ UDPゴシック" w:hAnsi="BIZ UDPゴシック" w:cs="Calibri"/>
          <w:sz w:val="18"/>
          <w:szCs w:val="18"/>
        </w:rPr>
        <w:br/>
      </w:r>
      <w:r w:rsidRPr="005453FB">
        <w:rPr>
          <w:rFonts w:ascii="BIZ UDPゴシック" w:eastAsia="BIZ UDPゴシック" w:hAnsi="BIZ UDPゴシック" w:cs="Calibri"/>
          <w:b/>
          <w:bCs/>
          <w:sz w:val="18"/>
          <w:szCs w:val="18"/>
        </w:rPr>
        <w:t>バージョン：</w:t>
      </w:r>
      <w:r w:rsidRPr="005453FB">
        <w:rPr>
          <w:rFonts w:ascii="BIZ UDPゴシック" w:eastAsia="BIZ UDPゴシック" w:hAnsi="BIZ UDPゴシック" w:cs="Calibri"/>
          <w:sz w:val="18"/>
          <w:szCs w:val="18"/>
        </w:rPr>
        <w:t xml:space="preserve"> v</w:t>
      </w:r>
      <w:r w:rsidR="00F048A5" w:rsidRPr="005453FB">
        <w:rPr>
          <w:rFonts w:ascii="BIZ UDPゴシック" w:eastAsia="BIZ UDPゴシック" w:hAnsi="BIZ UDPゴシック" w:cs="Calibri" w:hint="eastAsia"/>
          <w:sz w:val="18"/>
          <w:szCs w:val="18"/>
        </w:rPr>
        <w:t>5</w:t>
      </w:r>
      <w:r w:rsidRPr="005453FB">
        <w:rPr>
          <w:rFonts w:ascii="BIZ UDPゴシック" w:eastAsia="BIZ UDPゴシック" w:hAnsi="BIZ UDPゴシック" w:cs="Calibri"/>
          <w:sz w:val="18"/>
          <w:szCs w:val="18"/>
        </w:rPr>
        <w:t>（2026年</w:t>
      </w:r>
      <w:r w:rsidR="00F048A5" w:rsidRPr="005453FB">
        <w:rPr>
          <w:rFonts w:ascii="BIZ UDPゴシック" w:eastAsia="BIZ UDPゴシック" w:hAnsi="BIZ UDPゴシック" w:cs="Calibri" w:hint="eastAsia"/>
          <w:sz w:val="18"/>
          <w:szCs w:val="18"/>
        </w:rPr>
        <w:t>9</w:t>
      </w:r>
      <w:r w:rsidRPr="005453FB">
        <w:rPr>
          <w:rFonts w:ascii="BIZ UDPゴシック" w:eastAsia="BIZ UDPゴシック" w:hAnsi="BIZ UDPゴシック" w:cs="Calibri"/>
          <w:sz w:val="18"/>
          <w:szCs w:val="18"/>
        </w:rPr>
        <w:t>月）</w:t>
      </w:r>
      <w:r w:rsidRPr="005453FB">
        <w:rPr>
          <w:rFonts w:ascii="BIZ UDPゴシック" w:eastAsia="BIZ UDPゴシック" w:hAnsi="BIZ UDPゴシック" w:cs="Calibri"/>
          <w:sz w:val="18"/>
          <w:szCs w:val="18"/>
        </w:rPr>
        <w:br/>
      </w:r>
      <w:r w:rsidRPr="005453FB">
        <w:rPr>
          <w:rFonts w:ascii="BIZ UDPゴシック" w:eastAsia="BIZ UDPゴシック" w:hAnsi="BIZ UDPゴシック" w:cs="Calibri"/>
          <w:b/>
          <w:bCs/>
          <w:sz w:val="18"/>
          <w:szCs w:val="18"/>
        </w:rPr>
        <w:t>回答期限：</w:t>
      </w:r>
      <w:r w:rsidRPr="005453FB">
        <w:rPr>
          <w:rFonts w:ascii="BIZ UDPゴシック" w:eastAsia="BIZ UDPゴシック" w:hAnsi="BIZ UDPゴシック" w:cs="Calibri"/>
          <w:sz w:val="18"/>
          <w:szCs w:val="18"/>
        </w:rPr>
        <w:t xml:space="preserve"> 2026年</w:t>
      </w:r>
      <w:r w:rsidR="00EA1DCD" w:rsidRPr="005453FB">
        <w:rPr>
          <w:rFonts w:ascii="BIZ UDPゴシック" w:eastAsia="BIZ UDPゴシック" w:hAnsi="BIZ UDPゴシック" w:cs="Calibri" w:hint="eastAsia"/>
          <w:sz w:val="18"/>
          <w:szCs w:val="18"/>
        </w:rPr>
        <w:t>9</w:t>
      </w:r>
      <w:r w:rsidRPr="005453FB">
        <w:rPr>
          <w:rFonts w:ascii="BIZ UDPゴシック" w:eastAsia="BIZ UDPゴシック" w:hAnsi="BIZ UDPゴシック" w:cs="Calibri"/>
          <w:sz w:val="18"/>
          <w:szCs w:val="18"/>
        </w:rPr>
        <w:t>月末</w:t>
      </w:r>
      <w:r w:rsidRPr="005453FB">
        <w:rPr>
          <w:rFonts w:ascii="BIZ UDPゴシック" w:eastAsia="BIZ UDPゴシック" w:hAnsi="BIZ UDPゴシック" w:cs="Calibri"/>
          <w:sz w:val="18"/>
          <w:szCs w:val="18"/>
        </w:rPr>
        <w:br/>
      </w:r>
      <w:r w:rsidRPr="005453FB">
        <w:rPr>
          <w:rFonts w:ascii="BIZ UDPゴシック" w:eastAsia="BIZ UDPゴシック" w:hAnsi="BIZ UDPゴシック" w:cs="Calibri"/>
          <w:b/>
          <w:bCs/>
          <w:sz w:val="18"/>
          <w:szCs w:val="18"/>
        </w:rPr>
        <w:t>問い合わせ先：</w:t>
      </w:r>
      <w:r w:rsidRPr="005453FB">
        <w:rPr>
          <w:rFonts w:ascii="BIZ UDPゴシック" w:eastAsia="BIZ UDPゴシック" w:hAnsi="BIZ UDPゴシック" w:cs="Calibri"/>
          <w:sz w:val="18"/>
          <w:szCs w:val="18"/>
        </w:rPr>
        <w:t xml:space="preserve"> FIA Japan 事務局（Tony Crane</w:t>
      </w:r>
      <w:r w:rsidR="00877DD1" w:rsidRPr="005453FB">
        <w:rPr>
          <w:rFonts w:ascii="BIZ UDPゴシック" w:eastAsia="BIZ UDPゴシック" w:hAnsi="BIZ UDPゴシック" w:cs="Calibri" w:hint="eastAsia"/>
          <w:sz w:val="18"/>
          <w:szCs w:val="18"/>
        </w:rPr>
        <w:t xml:space="preserve"> / </w:t>
      </w:r>
      <w:r w:rsidR="00877DD1" w:rsidRPr="005453FB">
        <w:rPr>
          <w:rFonts w:ascii="BIZ UDPゴシック" w:eastAsia="BIZ UDPゴシック" w:hAnsi="BIZ UDPゴシック" w:cs="Calibri"/>
          <w:sz w:val="18"/>
          <w:szCs w:val="18"/>
        </w:rPr>
        <w:t>crane@fiajapan.org</w:t>
      </w:r>
      <w:r w:rsidR="00877DD1" w:rsidRPr="005453FB">
        <w:rPr>
          <w:rFonts w:ascii="BIZ UDPゴシック" w:eastAsia="BIZ UDPゴシック" w:hAnsi="BIZ UDPゴシック" w:cs="Calibri" w:hint="eastAsia"/>
          <w:sz w:val="18"/>
          <w:szCs w:val="18"/>
        </w:rPr>
        <w:t xml:space="preserve"> </w:t>
      </w:r>
      <w:r w:rsidRPr="005453FB">
        <w:rPr>
          <w:rFonts w:ascii="BIZ UDPゴシック" w:eastAsia="BIZ UDPゴシック" w:hAnsi="BIZ UDPゴシック" w:cs="Calibri"/>
          <w:sz w:val="18"/>
          <w:szCs w:val="18"/>
        </w:rPr>
        <w:t>）</w:t>
      </w:r>
    </w:p>
    <w:p w14:paraId="6FC8DA14" w14:textId="77777777" w:rsidR="00D060FC" w:rsidRPr="005453FB" w:rsidRDefault="00D060FC" w:rsidP="00D060FC">
      <w:pPr>
        <w:spacing w:before="0" w:after="0"/>
        <w:contextualSpacing/>
        <w:rPr>
          <w:rFonts w:ascii="BIZ UDPゴシック" w:eastAsia="BIZ UDPゴシック" w:hAnsi="BIZ UDPゴシック" w:cs="Calibri"/>
          <w:sz w:val="18"/>
          <w:szCs w:val="18"/>
        </w:rPr>
      </w:pPr>
    </w:p>
    <w:p w14:paraId="55C8155E" w14:textId="77777777" w:rsidR="000669EA" w:rsidRPr="005453FB" w:rsidRDefault="00F54783" w:rsidP="00D060FC">
      <w:pPr>
        <w:pStyle w:val="1"/>
        <w:spacing w:before="0"/>
        <w:contextualSpacing/>
        <w:rPr>
          <w:rFonts w:ascii="BIZ UDPゴシック" w:eastAsia="BIZ UDPゴシック" w:hAnsi="BIZ UDPゴシック" w:cs="Calibri"/>
          <w:sz w:val="28"/>
          <w:szCs w:val="28"/>
        </w:rPr>
      </w:pPr>
      <w:bookmarkStart w:id="1" w:name="■-はじめに：本質問票の背景と目的"/>
      <w:r w:rsidRPr="005453FB">
        <w:rPr>
          <w:rFonts w:ascii="BIZ UDPゴシック" w:eastAsia="BIZ UDPゴシック" w:hAnsi="BIZ UDPゴシック" w:cs="Courier New"/>
          <w:sz w:val="28"/>
          <w:szCs w:val="28"/>
        </w:rPr>
        <w:t>■</w:t>
      </w:r>
      <w:r w:rsidRPr="005453FB">
        <w:rPr>
          <w:rFonts w:ascii="BIZ UDPゴシック" w:eastAsia="BIZ UDPゴシック" w:hAnsi="BIZ UDPゴシック" w:cs="Calibri"/>
          <w:sz w:val="28"/>
          <w:szCs w:val="28"/>
        </w:rPr>
        <w:t xml:space="preserve"> はじめに：本質問票の背景と目的</w:t>
      </w:r>
      <w:bookmarkEnd w:id="1"/>
    </w:p>
    <w:p w14:paraId="77E88D8A"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2" w:name="背景"/>
      <w:r w:rsidRPr="005453FB">
        <w:rPr>
          <w:rFonts w:ascii="BIZ UDPゴシック" w:eastAsia="BIZ UDPゴシック" w:hAnsi="BIZ UDPゴシック" w:cs="Calibri"/>
          <w:sz w:val="24"/>
          <w:szCs w:val="24"/>
        </w:rPr>
        <w:t>背景</w:t>
      </w:r>
      <w:bookmarkEnd w:id="2"/>
    </w:p>
    <w:p w14:paraId="2F8AD188" w14:textId="5CB949A1"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国内の先物取引におけるポストトレード業務（約定後から決済に至る一連の処理）には、長年にわたり解決されてこなかった構造的な非効率が存在しています。FIA Japanオペレーション委員会は、2025年6月の発足以来、証券会社・運用会社・信託銀行・システムベンダー・市場インフラ（JPX、JSCC、JASDECほか）など、業界を代表する多様なステークホルダーが参加のもと、第1回〜第12回（2025年6月〜2026年6月）にわたる定例会合を通じ、以下の3つの主要課題を中心に議論を重ねてきました。</w:t>
      </w:r>
      <w:r w:rsidR="00FC137A" w:rsidRPr="005453FB">
        <w:rPr>
          <w:rFonts w:ascii="BIZ UDPゴシック" w:eastAsia="BIZ UDPゴシック" w:hAnsi="BIZ UDPゴシック" w:cs="Calibri"/>
          <w:sz w:val="18"/>
          <w:szCs w:val="18"/>
        </w:rPr>
        <w:br/>
      </w:r>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316"/>
        <w:gridCol w:w="2098"/>
        <w:gridCol w:w="6610"/>
      </w:tblGrid>
      <w:tr w:rsidR="000669EA" w:rsidRPr="005453FB" w14:paraId="70BFB545" w14:textId="77777777">
        <w:trPr>
          <w:tblHeader/>
        </w:trPr>
        <w:tc>
          <w:tcPr>
            <w:tcW w:w="500" w:type="auto"/>
            <w:shd w:val="solid" w:color="auto" w:fill="B79C2F"/>
            <w:tcMar>
              <w:left w:w="60" w:type="dxa"/>
              <w:right w:w="60" w:type="dxa"/>
            </w:tcMar>
            <w:vAlign w:val="center"/>
          </w:tcPr>
          <w:p w14:paraId="7B95258B"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w:t>
            </w:r>
          </w:p>
        </w:tc>
        <w:tc>
          <w:tcPr>
            <w:tcW w:w="500" w:type="auto"/>
            <w:shd w:val="solid" w:color="auto" w:fill="B79C2F"/>
            <w:tcMar>
              <w:left w:w="60" w:type="dxa"/>
              <w:right w:w="60" w:type="dxa"/>
            </w:tcMar>
            <w:vAlign w:val="center"/>
          </w:tcPr>
          <w:p w14:paraId="23CE4F37"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課題</w:t>
            </w:r>
          </w:p>
        </w:tc>
        <w:tc>
          <w:tcPr>
            <w:tcW w:w="500" w:type="auto"/>
            <w:shd w:val="solid" w:color="auto" w:fill="B79C2F"/>
            <w:tcMar>
              <w:left w:w="60" w:type="dxa"/>
              <w:right w:w="60" w:type="dxa"/>
            </w:tcMar>
            <w:vAlign w:val="center"/>
          </w:tcPr>
          <w:p w14:paraId="3CC1C56D"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現状の問題</w:t>
            </w:r>
          </w:p>
        </w:tc>
      </w:tr>
      <w:tr w:rsidR="000669EA" w:rsidRPr="005453FB" w14:paraId="2BF68A0D" w14:textId="77777777">
        <w:tc>
          <w:tcPr>
            <w:tcW w:w="500" w:type="auto"/>
            <w:tcMar>
              <w:left w:w="60" w:type="dxa"/>
              <w:right w:w="60" w:type="dxa"/>
            </w:tcMar>
            <w:vAlign w:val="center"/>
          </w:tcPr>
          <w:p w14:paraId="059A0DA2"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1</w:t>
            </w:r>
          </w:p>
        </w:tc>
        <w:tc>
          <w:tcPr>
            <w:tcW w:w="500" w:type="auto"/>
            <w:tcMar>
              <w:left w:w="60" w:type="dxa"/>
              <w:right w:w="60" w:type="dxa"/>
            </w:tcMar>
            <w:vAlign w:val="center"/>
          </w:tcPr>
          <w:p w14:paraId="0209B32E"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平均単価計算の不統一</w:t>
            </w:r>
          </w:p>
        </w:tc>
        <w:tc>
          <w:tcPr>
            <w:tcW w:w="500" w:type="auto"/>
            <w:tcMar>
              <w:left w:w="60" w:type="dxa"/>
              <w:right w:w="60" w:type="dxa"/>
            </w:tcMar>
            <w:vAlign w:val="center"/>
          </w:tcPr>
          <w:p w14:paraId="492BAF7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「金額方式」と「単価方式」の混在による日常的な1円単位の照合差異の発生</w:t>
            </w:r>
          </w:p>
        </w:tc>
      </w:tr>
      <w:tr w:rsidR="000669EA" w:rsidRPr="005453FB" w14:paraId="59787963" w14:textId="77777777">
        <w:tc>
          <w:tcPr>
            <w:tcW w:w="500" w:type="auto"/>
            <w:tcMar>
              <w:left w:w="60" w:type="dxa"/>
              <w:right w:w="60" w:type="dxa"/>
            </w:tcMar>
            <w:vAlign w:val="center"/>
          </w:tcPr>
          <w:p w14:paraId="2C1AD2D7"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2</w:t>
            </w:r>
          </w:p>
        </w:tc>
        <w:tc>
          <w:tcPr>
            <w:tcW w:w="500" w:type="auto"/>
            <w:tcMar>
              <w:left w:w="60" w:type="dxa"/>
              <w:right w:w="60" w:type="dxa"/>
            </w:tcMar>
            <w:vAlign w:val="center"/>
          </w:tcPr>
          <w:p w14:paraId="1C174BD6" w14:textId="4A26E465"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建玉決済ロジック</w:t>
            </w:r>
          </w:p>
        </w:tc>
        <w:tc>
          <w:tcPr>
            <w:tcW w:w="500" w:type="auto"/>
            <w:tcMar>
              <w:left w:w="60" w:type="dxa"/>
              <w:right w:w="60" w:type="dxa"/>
            </w:tcMar>
            <w:vAlign w:val="center"/>
          </w:tcPr>
          <w:p w14:paraId="44C52064" w14:textId="2677CDF4" w:rsidR="000669EA" w:rsidRPr="005453FB" w:rsidRDefault="00FC137A"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多様なFIFO</w:t>
            </w:r>
            <w:r w:rsidR="00F54783" w:rsidRPr="005453FB">
              <w:rPr>
                <w:rFonts w:ascii="BIZ UDPゴシック" w:eastAsia="BIZ UDPゴシック" w:hAnsi="BIZ UDPゴシック" w:cs="Calibri"/>
                <w:sz w:val="18"/>
                <w:szCs w:val="18"/>
              </w:rPr>
              <w:t>ロジック</w:t>
            </w:r>
            <w:r w:rsidRPr="005453FB">
              <w:rPr>
                <w:rFonts w:ascii="BIZ UDPゴシック" w:eastAsia="BIZ UDPゴシック" w:hAnsi="BIZ UDPゴシック" w:cs="Calibri"/>
                <w:sz w:val="18"/>
                <w:szCs w:val="18"/>
              </w:rPr>
              <w:t>・当て玉</w:t>
            </w:r>
            <w:r w:rsidR="00F54783" w:rsidRPr="005453FB">
              <w:rPr>
                <w:rFonts w:ascii="BIZ UDPゴシック" w:eastAsia="BIZ UDPゴシック" w:hAnsi="BIZ UDPゴシック" w:cs="Calibri"/>
                <w:sz w:val="18"/>
                <w:szCs w:val="18"/>
              </w:rPr>
              <w:t>によるオペレーションの属人化とリスク増大</w:t>
            </w:r>
          </w:p>
        </w:tc>
      </w:tr>
      <w:tr w:rsidR="000669EA" w:rsidRPr="005453FB" w14:paraId="231C41AC" w14:textId="77777777">
        <w:tc>
          <w:tcPr>
            <w:tcW w:w="500" w:type="auto"/>
            <w:tcMar>
              <w:left w:w="60" w:type="dxa"/>
              <w:right w:w="60" w:type="dxa"/>
            </w:tcMar>
            <w:vAlign w:val="center"/>
          </w:tcPr>
          <w:p w14:paraId="7DD5BBBA"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3</w:t>
            </w:r>
          </w:p>
        </w:tc>
        <w:tc>
          <w:tcPr>
            <w:tcW w:w="500" w:type="auto"/>
            <w:tcMar>
              <w:left w:w="60" w:type="dxa"/>
              <w:right w:w="60" w:type="dxa"/>
            </w:tcMar>
            <w:vAlign w:val="center"/>
          </w:tcPr>
          <w:p w14:paraId="0B8FDCF0" w14:textId="4192F0A1"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二重照合ワークフロー</w:t>
            </w:r>
          </w:p>
        </w:tc>
        <w:tc>
          <w:tcPr>
            <w:tcW w:w="500" w:type="auto"/>
            <w:tcMar>
              <w:left w:w="60" w:type="dxa"/>
              <w:right w:w="60" w:type="dxa"/>
            </w:tcMar>
            <w:vAlign w:val="center"/>
          </w:tcPr>
          <w:p w14:paraId="291B9B29" w14:textId="24C8F366" w:rsidR="000669EA" w:rsidRPr="005453FB" w:rsidRDefault="00EA1DCD"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hint="eastAsia"/>
                <w:sz w:val="18"/>
                <w:szCs w:val="18"/>
              </w:rPr>
              <w:t>運用</w:t>
            </w:r>
            <w:r w:rsidRPr="005453FB">
              <w:rPr>
                <w:rFonts w:ascii="BIZ UDPゴシック" w:eastAsia="BIZ UDPゴシック" w:hAnsi="BIZ UDPゴシック" w:cs="Calibri"/>
                <w:sz w:val="18"/>
                <w:szCs w:val="18"/>
              </w:rPr>
              <w:t>会社</w:t>
            </w:r>
            <w:r w:rsidR="00F54783" w:rsidRPr="005453FB">
              <w:rPr>
                <w:rFonts w:ascii="BIZ UDPゴシック" w:eastAsia="BIZ UDPゴシック" w:hAnsi="BIZ UDPゴシック" w:cs="Calibri"/>
                <w:sz w:val="18"/>
                <w:szCs w:val="18"/>
              </w:rPr>
              <w:t>・信託銀行間で発生する重複した照合作業</w:t>
            </w:r>
          </w:p>
        </w:tc>
      </w:tr>
    </w:tbl>
    <w:p w14:paraId="19A4801C" w14:textId="77777777" w:rsidR="00D060FC" w:rsidRPr="005453FB" w:rsidRDefault="00D060FC" w:rsidP="00D060FC">
      <w:pPr>
        <w:spacing w:before="0" w:after="0"/>
        <w:contextualSpacing/>
        <w:rPr>
          <w:rFonts w:ascii="BIZ UDPゴシック" w:eastAsia="BIZ UDPゴシック" w:hAnsi="BIZ UDPゴシック" w:cs="Calibri"/>
          <w:sz w:val="18"/>
          <w:szCs w:val="18"/>
        </w:rPr>
      </w:pPr>
    </w:p>
    <w:p w14:paraId="1D6CC917" w14:textId="3C440C9C"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これらの課題は、単なる現場の業務負荷にとどまらず、オペレーショナルリスクの増大・コストの高止まり・グローバルな潮流からの乖離（いわゆる「ガラパゴス化」）を招き、日本市場全体の競争力を損なう構造的なリスクとなっています。委員会では、これらの議論の成果をホワイトペーパー「国内先物取引ポストトレード業務の課題と自動化への道筋（v2.1）」として取りまとめ、2026年2月19日に正式承認・公表しました。本質問票は、同ホワイトペーパーの提言に基づき、業界全体のコンセンサス形成と標準化の実現に向けた重要な次のステップとして位置づけられています。</w:t>
      </w:r>
    </w:p>
    <w:p w14:paraId="5BF8E69D" w14:textId="77777777" w:rsidR="00D060FC" w:rsidRPr="005453FB" w:rsidRDefault="00D060FC" w:rsidP="00D060FC">
      <w:pPr>
        <w:spacing w:before="0" w:after="0"/>
        <w:contextualSpacing/>
        <w:rPr>
          <w:rFonts w:ascii="BIZ UDPゴシック" w:eastAsia="BIZ UDPゴシック" w:hAnsi="BIZ UDPゴシック" w:cs="Calibri"/>
          <w:sz w:val="18"/>
          <w:szCs w:val="18"/>
        </w:rPr>
      </w:pPr>
    </w:p>
    <w:p w14:paraId="380EF6C6"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3" w:name="目的"/>
      <w:r w:rsidRPr="005453FB">
        <w:rPr>
          <w:rFonts w:ascii="BIZ UDPゴシック" w:eastAsia="BIZ UDPゴシック" w:hAnsi="BIZ UDPゴシック" w:cs="Calibri"/>
          <w:sz w:val="24"/>
          <w:szCs w:val="24"/>
        </w:rPr>
        <w:t>目的</w:t>
      </w:r>
      <w:bookmarkEnd w:id="3"/>
    </w:p>
    <w:p w14:paraId="311DE844" w14:textId="1435CCE0"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本質問票の目的は、以下の</w:t>
      </w:r>
      <w:r w:rsidR="000C4255" w:rsidRPr="005453FB">
        <w:rPr>
          <w:rFonts w:ascii="BIZ UDPゴシック" w:eastAsia="BIZ UDPゴシック" w:hAnsi="BIZ UDPゴシック" w:cs="Calibri" w:hint="eastAsia"/>
          <w:sz w:val="18"/>
          <w:szCs w:val="18"/>
        </w:rPr>
        <w:t>3</w:t>
      </w:r>
      <w:r w:rsidRPr="005453FB">
        <w:rPr>
          <w:rFonts w:ascii="BIZ UDPゴシック" w:eastAsia="BIZ UDPゴシック" w:hAnsi="BIZ UDPゴシック" w:cs="Calibri"/>
          <w:sz w:val="18"/>
          <w:szCs w:val="18"/>
        </w:rPr>
        <w:t>点です。</w:t>
      </w:r>
    </w:p>
    <w:p w14:paraId="6364467A" w14:textId="77777777" w:rsidR="000669EA" w:rsidRPr="005453FB" w:rsidRDefault="00F54783" w:rsidP="00D060FC">
      <w:pPr>
        <w:pStyle w:val="a4"/>
        <w:numPr>
          <w:ilvl w:val="0"/>
          <w:numId w:val="2"/>
        </w:numPr>
        <w:spacing w:before="0" w:after="0"/>
        <w:ind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現状把握：</w:t>
      </w:r>
      <w:r w:rsidRPr="005453FB">
        <w:rPr>
          <w:rFonts w:ascii="BIZ UDPゴシック" w:eastAsia="BIZ UDPゴシック" w:hAnsi="BIZ UDPゴシック" w:cs="Calibri"/>
          <w:sz w:val="18"/>
          <w:szCs w:val="18"/>
        </w:rPr>
        <w:t xml:space="preserve"> 各社における建玉決済方法・平均単価計算方法の現行運用実態を広く把握する。</w:t>
      </w:r>
    </w:p>
    <w:p w14:paraId="18F0A4FE" w14:textId="77777777" w:rsidR="000669EA" w:rsidRPr="005453FB" w:rsidRDefault="00F54783" w:rsidP="00D060FC">
      <w:pPr>
        <w:pStyle w:val="a4"/>
        <w:numPr>
          <w:ilvl w:val="0"/>
          <w:numId w:val="2"/>
        </w:numPr>
        <w:spacing w:before="0" w:after="0"/>
        <w:ind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コンセンサス形成：</w:t>
      </w:r>
      <w:r w:rsidRPr="005453FB">
        <w:rPr>
          <w:rFonts w:ascii="BIZ UDPゴシック" w:eastAsia="BIZ UDPゴシック" w:hAnsi="BIZ UDPゴシック" w:cs="Calibri"/>
          <w:sz w:val="18"/>
          <w:szCs w:val="18"/>
        </w:rPr>
        <w:t xml:space="preserve"> 収集した回答を分析し、業界全体での標準化方針の策定および関係団体（JSDA等）への提案の基礎資料とする。</w:t>
      </w:r>
    </w:p>
    <w:p w14:paraId="2D5579E6" w14:textId="3A696DA7" w:rsidR="009C00E4" w:rsidRPr="005453FB" w:rsidRDefault="009C00E4" w:rsidP="009C00E4">
      <w:pPr>
        <w:pStyle w:val="a4"/>
        <w:numPr>
          <w:ilvl w:val="0"/>
          <w:numId w:val="2"/>
        </w:numPr>
        <w:rPr>
          <w:rFonts w:ascii="BIZ UDPゴシック" w:eastAsia="BIZ UDPゴシック" w:hAnsi="BIZ UDPゴシック" w:cstheme="minorBidi"/>
          <w:szCs w:val="24"/>
        </w:rPr>
      </w:pPr>
      <w:r w:rsidRPr="005453FB">
        <w:rPr>
          <w:rFonts w:ascii="BIZ UDPゴシック" w:eastAsia="BIZ UDPゴシック" w:hAnsi="BIZ UDPゴシック" w:cstheme="minorBidi" w:hint="eastAsia"/>
          <w:b/>
          <w:bCs/>
          <w:szCs w:val="24"/>
        </w:rPr>
        <w:lastRenderedPageBreak/>
        <w:t>投資家意見の反映：</w:t>
      </w:r>
      <w:r w:rsidRPr="005453FB">
        <w:rPr>
          <w:rFonts w:ascii="BIZ UDPゴシック" w:eastAsia="BIZ UDPゴシック" w:hAnsi="BIZ UDPゴシック" w:cstheme="minorBidi"/>
          <w:szCs w:val="24"/>
        </w:rPr>
        <w:t xml:space="preserve"> </w:t>
      </w:r>
      <w:r w:rsidRPr="005453FB">
        <w:rPr>
          <w:rFonts w:ascii="BIZ UDPゴシック" w:eastAsia="BIZ UDPゴシック" w:hAnsi="BIZ UDPゴシック" w:cstheme="minorBidi" w:hint="eastAsia"/>
          <w:szCs w:val="24"/>
        </w:rPr>
        <w:t>投資家保護およびグローバル基準との整合性の観点から、運用会社その他の投資家の実務上の意見を収集し、今後検討される</w:t>
      </w:r>
      <w:r w:rsidRPr="005453FB">
        <w:rPr>
          <w:rFonts w:ascii="BIZ UDPゴシック" w:eastAsia="BIZ UDPゴシック" w:hAnsi="BIZ UDPゴシック" w:cstheme="minorBidi"/>
          <w:szCs w:val="24"/>
        </w:rPr>
        <w:t>JSDA</w:t>
      </w:r>
      <w:r w:rsidRPr="005453FB">
        <w:rPr>
          <w:rFonts w:ascii="BIZ UDPゴシック" w:eastAsia="BIZ UDPゴシック" w:hAnsi="BIZ UDPゴシック" w:cstheme="minorBidi" w:hint="eastAsia"/>
          <w:szCs w:val="24"/>
        </w:rPr>
        <w:t>における関連規則・ガイドラインの見直し、および業界標準の策定に反映する。</w:t>
      </w:r>
    </w:p>
    <w:p w14:paraId="77DAE3DB" w14:textId="4DB2FC45" w:rsidR="009C00E4" w:rsidRPr="005453FB" w:rsidRDefault="009C00E4" w:rsidP="003B170B">
      <w:pPr>
        <w:pStyle w:val="a4"/>
        <w:ind w:left="576"/>
        <w:rPr>
          <w:rFonts w:ascii="BIZ UDPゴシック" w:eastAsia="BIZ UDPゴシック" w:hAnsi="BIZ UDPゴシック" w:cstheme="minorBidi"/>
          <w:szCs w:val="24"/>
        </w:rPr>
      </w:pPr>
      <w:r w:rsidRPr="005453FB">
        <w:rPr>
          <w:rFonts w:ascii="BIZ UDPゴシック" w:eastAsia="BIZ UDPゴシック" w:hAnsi="BIZ UDPゴシック" w:cstheme="minorBidi" w:hint="eastAsia"/>
          <w:szCs w:val="24"/>
        </w:rPr>
        <w:t>本質問票への回答は、特定の結論をあらかじめ求めるものではありません。各社の現在の運用実態、標準化に伴う影響および投資家の意見を把握し、実務に即した標準化案を策定するための基礎資料として活用します。集計・分析結果は、</w:t>
      </w:r>
      <w:r w:rsidRPr="005453FB">
        <w:rPr>
          <w:rFonts w:ascii="BIZ UDPゴシック" w:eastAsia="BIZ UDPゴシック" w:hAnsi="BIZ UDPゴシック" w:cstheme="minorBidi"/>
          <w:szCs w:val="24"/>
        </w:rPr>
        <w:t>FIA Japan</w:t>
      </w:r>
      <w:r w:rsidRPr="005453FB">
        <w:rPr>
          <w:rFonts w:ascii="BIZ UDPゴシック" w:eastAsia="BIZ UDPゴシック" w:hAnsi="BIZ UDPゴシック" w:cstheme="minorBidi" w:hint="eastAsia"/>
          <w:szCs w:val="24"/>
        </w:rPr>
        <w:t>における業界ガイドラインの策定に加え、</w:t>
      </w:r>
      <w:r w:rsidRPr="005453FB">
        <w:rPr>
          <w:rFonts w:ascii="BIZ UDPゴシック" w:eastAsia="BIZ UDPゴシック" w:hAnsi="BIZ UDPゴシック" w:cstheme="minorBidi"/>
          <w:szCs w:val="24"/>
        </w:rPr>
        <w:t>JSDA</w:t>
      </w:r>
      <w:r w:rsidRPr="005453FB">
        <w:rPr>
          <w:rFonts w:ascii="BIZ UDPゴシック" w:eastAsia="BIZ UDPゴシック" w:hAnsi="BIZ UDPゴシック" w:cstheme="minorBidi" w:hint="eastAsia"/>
          <w:szCs w:val="24"/>
        </w:rPr>
        <w:t>の関連規則・ガイドラインの見直しを含む、今後の制度改正に向けた提案および協議に使用する予定です。</w:t>
      </w:r>
    </w:p>
    <w:p w14:paraId="162A2CC6" w14:textId="76632C6A"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4" w:name="本質問票が対象とする「標準化」の定義"/>
      <w:r w:rsidRPr="005453FB">
        <w:rPr>
          <w:rFonts w:ascii="BIZ UDPゴシック" w:eastAsia="BIZ UDPゴシック" w:hAnsi="BIZ UDPゴシック" w:cs="Calibri"/>
          <w:sz w:val="24"/>
          <w:szCs w:val="24"/>
        </w:rPr>
        <w:t>本質問票が対象とする「標準化」の定義</w:t>
      </w:r>
      <w:bookmarkEnd w:id="4"/>
    </w:p>
    <w:p w14:paraId="6B045FC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本文脈における「</w:t>
      </w:r>
      <w:r w:rsidRPr="005453FB">
        <w:rPr>
          <w:rFonts w:ascii="BIZ UDPゴシック" w:eastAsia="BIZ UDPゴシック" w:hAnsi="BIZ UDPゴシック" w:cs="Calibri"/>
          <w:b/>
          <w:bCs/>
          <w:sz w:val="18"/>
          <w:szCs w:val="18"/>
        </w:rPr>
        <w:t>標準化</w:t>
      </w:r>
      <w:r w:rsidRPr="005453FB">
        <w:rPr>
          <w:rFonts w:ascii="BIZ UDPゴシック" w:eastAsia="BIZ UDPゴシック" w:hAnsi="BIZ UDPゴシック" w:cs="Calibri"/>
          <w:sz w:val="18"/>
          <w:szCs w:val="18"/>
        </w:rPr>
        <w:t>」とは、次のことを指します。</w:t>
      </w:r>
    </w:p>
    <w:p w14:paraId="21DA2EF4" w14:textId="77777777" w:rsidR="000669EA" w:rsidRPr="005453FB" w:rsidRDefault="00F54783" w:rsidP="00D060FC">
      <w:pPr>
        <w:pBdr>
          <w:left w:val="inset" w:sz="20" w:space="14" w:color="AAAAAA"/>
        </w:pBdr>
        <w:spacing w:before="0" w:after="0"/>
        <w:ind w:left="720"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業界全体で共通の業務ルール・計算ロジック・用語定義を定め、各社が独自解釈による個別対応を行わなくても済む環境を整えること。</w:t>
      </w:r>
    </w:p>
    <w:p w14:paraId="4A481730" w14:textId="078D34A3"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より具体的には、以下の範囲を対象としています。</w:t>
      </w:r>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1700"/>
        <w:gridCol w:w="7324"/>
      </w:tblGrid>
      <w:tr w:rsidR="000669EA" w:rsidRPr="005453FB" w14:paraId="13601CDD" w14:textId="77777777" w:rsidTr="00121AE2">
        <w:trPr>
          <w:tblHeader/>
        </w:trPr>
        <w:tc>
          <w:tcPr>
            <w:tcW w:w="942" w:type="pct"/>
            <w:shd w:val="solid" w:color="auto" w:fill="B79C2F"/>
            <w:tcMar>
              <w:left w:w="60" w:type="dxa"/>
              <w:right w:w="60" w:type="dxa"/>
            </w:tcMar>
            <w:vAlign w:val="center"/>
          </w:tcPr>
          <w:p w14:paraId="4AAE7064"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対象領域</w:t>
            </w:r>
          </w:p>
        </w:tc>
        <w:tc>
          <w:tcPr>
            <w:tcW w:w="4058" w:type="pct"/>
            <w:shd w:val="solid" w:color="auto" w:fill="B79C2F"/>
            <w:tcMar>
              <w:left w:w="60" w:type="dxa"/>
              <w:right w:w="60" w:type="dxa"/>
            </w:tcMar>
            <w:vAlign w:val="center"/>
          </w:tcPr>
          <w:p w14:paraId="211A9202"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標準化の内容</w:t>
            </w:r>
          </w:p>
        </w:tc>
      </w:tr>
      <w:tr w:rsidR="000669EA" w:rsidRPr="005453FB" w14:paraId="4D1C111B" w14:textId="77777777" w:rsidTr="00121AE2">
        <w:tc>
          <w:tcPr>
            <w:tcW w:w="942" w:type="pct"/>
            <w:tcMar>
              <w:left w:w="60" w:type="dxa"/>
              <w:right w:w="60" w:type="dxa"/>
            </w:tcMar>
            <w:vAlign w:val="center"/>
          </w:tcPr>
          <w:p w14:paraId="693FFE5C"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建玉決済ロジック</w:t>
            </w:r>
          </w:p>
        </w:tc>
        <w:tc>
          <w:tcPr>
            <w:tcW w:w="4058" w:type="pct"/>
            <w:tcMar>
              <w:left w:w="60" w:type="dxa"/>
              <w:right w:w="60" w:type="dxa"/>
            </w:tcMar>
            <w:vAlign w:val="center"/>
          </w:tcPr>
          <w:p w14:paraId="570DF27A" w14:textId="45E6A7FE"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乱立するカスタムロジック</w:t>
            </w:r>
            <w:r w:rsidR="00FC137A" w:rsidRPr="005453FB">
              <w:rPr>
                <w:rFonts w:ascii="BIZ UDPゴシック" w:eastAsia="BIZ UDPゴシック" w:hAnsi="BIZ UDPゴシック" w:cs="Calibri"/>
                <w:sz w:val="18"/>
                <w:szCs w:val="18"/>
              </w:rPr>
              <w:t>から</w:t>
            </w:r>
            <w:r w:rsidRPr="005453FB">
              <w:rPr>
                <w:rFonts w:ascii="BIZ UDPゴシック" w:eastAsia="BIZ UDPゴシック" w:hAnsi="BIZ UDPゴシック" w:cs="Calibri"/>
                <w:sz w:val="18"/>
                <w:szCs w:val="18"/>
              </w:rPr>
              <w:t>、</w:t>
            </w:r>
            <w:r w:rsidR="00EA1DCD" w:rsidRPr="005453FB">
              <w:rPr>
                <w:rFonts w:ascii="BIZ UDPゴシック" w:eastAsia="BIZ UDPゴシック" w:hAnsi="BIZ UDPゴシック" w:cs="Calibri"/>
                <w:sz w:val="18"/>
                <w:szCs w:val="18"/>
              </w:rPr>
              <w:t>業界共通の標準パターン</w:t>
            </w:r>
            <w:r w:rsidR="00EA1DCD" w:rsidRPr="005453FB">
              <w:rPr>
                <w:rFonts w:ascii="BIZ UDPゴシック" w:eastAsia="BIZ UDPゴシック" w:hAnsi="BIZ UDPゴシック" w:cs="Calibri" w:hint="eastAsia"/>
                <w:sz w:val="18"/>
                <w:szCs w:val="18"/>
              </w:rPr>
              <w:t>2-3種類</w:t>
            </w:r>
            <w:r w:rsidR="00EA1DCD" w:rsidRPr="005453FB">
              <w:rPr>
                <w:rFonts w:ascii="BIZ UDPゴシック" w:eastAsia="BIZ UDPゴシック" w:hAnsi="BIZ UDPゴシック" w:cs="Calibri"/>
                <w:sz w:val="18"/>
                <w:szCs w:val="18"/>
              </w:rPr>
              <w:t>に集約する（推奨：「取引日の古い順、同日内は価格の安い順」</w:t>
            </w:r>
            <w:r w:rsidR="00EA1DCD" w:rsidRPr="005453FB">
              <w:rPr>
                <w:rFonts w:ascii="BIZ UDPゴシック" w:eastAsia="BIZ UDPゴシック" w:hAnsi="BIZ UDPゴシック" w:cs="Calibri" w:hint="eastAsia"/>
                <w:sz w:val="18"/>
                <w:szCs w:val="18"/>
              </w:rPr>
              <w:t>他1-2種類</w:t>
            </w:r>
            <w:r w:rsidR="00EA1DCD" w:rsidRPr="005453FB">
              <w:rPr>
                <w:rFonts w:ascii="BIZ UDPゴシック" w:eastAsia="BIZ UDPゴシック" w:hAnsi="BIZ UDPゴシック" w:cs="Calibri"/>
                <w:sz w:val="18"/>
                <w:szCs w:val="18"/>
              </w:rPr>
              <w:t>）</w:t>
            </w:r>
          </w:p>
        </w:tc>
      </w:tr>
      <w:tr w:rsidR="000669EA" w:rsidRPr="005453FB" w14:paraId="0CB12DC9" w14:textId="77777777" w:rsidTr="00121AE2">
        <w:tc>
          <w:tcPr>
            <w:tcW w:w="942" w:type="pct"/>
            <w:tcMar>
              <w:left w:w="60" w:type="dxa"/>
              <w:right w:w="60" w:type="dxa"/>
            </w:tcMar>
            <w:vAlign w:val="center"/>
          </w:tcPr>
          <w:p w14:paraId="48C90A0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平均単価計算方式</w:t>
            </w:r>
          </w:p>
        </w:tc>
        <w:tc>
          <w:tcPr>
            <w:tcW w:w="4058" w:type="pct"/>
            <w:tcMar>
              <w:left w:w="60" w:type="dxa"/>
              <w:right w:w="60" w:type="dxa"/>
            </w:tcMar>
            <w:vAlign w:val="center"/>
          </w:tcPr>
          <w:p w14:paraId="6392AAD9" w14:textId="15B10BB9"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「金額方式」と「単価方式」の混在を解消</w:t>
            </w:r>
            <w:r w:rsidR="00FC137A" w:rsidRPr="005453FB">
              <w:rPr>
                <w:rFonts w:ascii="BIZ UDPゴシック" w:eastAsia="BIZ UDPゴシック" w:hAnsi="BIZ UDPゴシック" w:cs="Calibri"/>
                <w:sz w:val="18"/>
                <w:szCs w:val="18"/>
              </w:rPr>
              <w:t>し、</w:t>
            </w:r>
            <w:r w:rsidRPr="005453FB">
              <w:rPr>
                <w:rFonts w:ascii="BIZ UDPゴシック" w:eastAsia="BIZ UDPゴシック" w:hAnsi="BIZ UDPゴシック" w:cs="Calibri"/>
                <w:sz w:val="18"/>
                <w:szCs w:val="18"/>
              </w:rPr>
              <w:t>段階的にグローバル標準</w:t>
            </w:r>
            <w:r w:rsidR="00E47370" w:rsidRPr="005453FB">
              <w:rPr>
                <w:rFonts w:ascii="BIZ UDPゴシック" w:eastAsia="BIZ UDPゴシック" w:hAnsi="BIZ UDPゴシック" w:cs="Calibri" w:hint="eastAsia"/>
                <w:sz w:val="18"/>
                <w:szCs w:val="18"/>
              </w:rPr>
              <w:t>「単価方式」</w:t>
            </w:r>
            <w:r w:rsidRPr="005453FB">
              <w:rPr>
                <w:rFonts w:ascii="BIZ UDPゴシック" w:eastAsia="BIZ UDPゴシック" w:hAnsi="BIZ UDPゴシック" w:cs="Calibri"/>
                <w:sz w:val="18"/>
                <w:szCs w:val="18"/>
              </w:rPr>
              <w:t>へ移行する</w:t>
            </w:r>
          </w:p>
        </w:tc>
      </w:tr>
      <w:tr w:rsidR="000669EA" w:rsidRPr="005453FB" w14:paraId="36181272" w14:textId="77777777" w:rsidTr="00121AE2">
        <w:tc>
          <w:tcPr>
            <w:tcW w:w="942" w:type="pct"/>
            <w:tcMar>
              <w:left w:w="60" w:type="dxa"/>
              <w:right w:w="60" w:type="dxa"/>
            </w:tcMar>
            <w:vAlign w:val="center"/>
          </w:tcPr>
          <w:p w14:paraId="04364187"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夜間取引の約定日の扱い</w:t>
            </w:r>
          </w:p>
        </w:tc>
        <w:tc>
          <w:tcPr>
            <w:tcW w:w="4058" w:type="pct"/>
            <w:tcMar>
              <w:left w:w="60" w:type="dxa"/>
              <w:right w:w="60" w:type="dxa"/>
            </w:tcMar>
            <w:vAlign w:val="center"/>
          </w:tcPr>
          <w:p w14:paraId="307C92CA" w14:textId="2D3F1300"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夜間セッションを跨ぐ約定の「取引日」について、業界共通の定義を設ける</w:t>
            </w:r>
          </w:p>
        </w:tc>
      </w:tr>
      <w:tr w:rsidR="000669EA" w:rsidRPr="005453FB" w14:paraId="00365414" w14:textId="77777777" w:rsidTr="00121AE2">
        <w:tc>
          <w:tcPr>
            <w:tcW w:w="942" w:type="pct"/>
            <w:tcMar>
              <w:left w:w="60" w:type="dxa"/>
              <w:right w:w="60" w:type="dxa"/>
            </w:tcMar>
            <w:vAlign w:val="center"/>
          </w:tcPr>
          <w:p w14:paraId="548868B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用語・定義</w:t>
            </w:r>
          </w:p>
        </w:tc>
        <w:tc>
          <w:tcPr>
            <w:tcW w:w="4058" w:type="pct"/>
            <w:tcMar>
              <w:left w:w="60" w:type="dxa"/>
              <w:right w:w="60" w:type="dxa"/>
            </w:tcMar>
            <w:vAlign w:val="center"/>
          </w:tcPr>
          <w:p w14:paraId="102540D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「取引日（Trade Date）」「約定日（Execution Date）」等の業界共通の定義を明確化する</w:t>
            </w:r>
          </w:p>
        </w:tc>
      </w:tr>
    </w:tbl>
    <w:p w14:paraId="3F44250F" w14:textId="2A7639EC" w:rsidR="000669EA" w:rsidRPr="005453FB" w:rsidRDefault="00FC137A"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br/>
      </w:r>
      <w:r w:rsidR="00F54783" w:rsidRPr="005453FB">
        <w:rPr>
          <w:rFonts w:ascii="BIZ UDPゴシック" w:eastAsia="BIZ UDPゴシック" w:hAnsi="BIZ UDPゴシック" w:cs="Calibri"/>
          <w:sz w:val="18"/>
          <w:szCs w:val="18"/>
        </w:rPr>
        <w:t>「標準化」は、業界の</w:t>
      </w:r>
      <w:r w:rsidR="00740A1C" w:rsidRPr="005453FB">
        <w:rPr>
          <w:rFonts w:ascii="BIZ UDPゴシック" w:eastAsia="BIZ UDPゴシック" w:hAnsi="BIZ UDPゴシック" w:cs="Calibri" w:hint="eastAsia"/>
          <w:sz w:val="18"/>
          <w:szCs w:val="18"/>
        </w:rPr>
        <w:t>最大公約数的</w:t>
      </w:r>
      <w:r w:rsidR="00F54783" w:rsidRPr="005453FB">
        <w:rPr>
          <w:rFonts w:ascii="BIZ UDPゴシック" w:eastAsia="BIZ UDPゴシック" w:hAnsi="BIZ UDPゴシック" w:cs="Calibri"/>
          <w:sz w:val="18"/>
          <w:szCs w:val="18"/>
        </w:rPr>
        <w:t>なルール統一を目指すものであり、各社のシステム改修を直ちに強制するものではありません。標準化後の移行については、一定の移行期間を設けた段階的な対応を想定しています。</w:t>
      </w:r>
    </w:p>
    <w:p w14:paraId="09ACC36D" w14:textId="77777777" w:rsidR="00D060FC" w:rsidRPr="005453FB" w:rsidRDefault="00D060FC" w:rsidP="00D060FC">
      <w:pPr>
        <w:pStyle w:val="2"/>
        <w:spacing w:before="0" w:after="0"/>
        <w:contextualSpacing/>
        <w:rPr>
          <w:rFonts w:ascii="BIZ UDPゴシック" w:eastAsia="BIZ UDPゴシック" w:hAnsi="BIZ UDPゴシック" w:cs="Calibri"/>
          <w:sz w:val="24"/>
          <w:szCs w:val="24"/>
        </w:rPr>
      </w:pPr>
      <w:bookmarkStart w:id="5" w:name="実施主体・ステークホルダー"/>
    </w:p>
    <w:p w14:paraId="43A63E3E" w14:textId="56D377EE" w:rsidR="000669EA" w:rsidRPr="005453FB" w:rsidRDefault="00F54783" w:rsidP="00D060FC">
      <w:pPr>
        <w:pStyle w:val="2"/>
        <w:spacing w:before="0" w:after="0"/>
        <w:contextualSpacing/>
        <w:rPr>
          <w:rFonts w:ascii="BIZ UDPゴシック" w:eastAsia="BIZ UDPゴシック" w:hAnsi="BIZ UDPゴシック" w:cs="Calibri"/>
          <w:sz w:val="24"/>
          <w:szCs w:val="24"/>
        </w:rPr>
      </w:pPr>
      <w:r w:rsidRPr="005453FB">
        <w:rPr>
          <w:rFonts w:ascii="BIZ UDPゴシック" w:eastAsia="BIZ UDPゴシック" w:hAnsi="BIZ UDPゴシック" w:cs="Calibri"/>
          <w:sz w:val="24"/>
          <w:szCs w:val="24"/>
        </w:rPr>
        <w:t>実施主体・ステークホルダー</w:t>
      </w:r>
      <w:bookmarkEnd w:id="5"/>
    </w:p>
    <w:p w14:paraId="5BAEB4A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本質問票の配布・回答集約担当：</w:t>
      </w:r>
      <w:r w:rsidRPr="005453FB">
        <w:rPr>
          <w:rFonts w:ascii="BIZ UDPゴシック" w:eastAsia="BIZ UDPゴシック" w:hAnsi="BIZ UDPゴシック" w:cs="Calibri"/>
          <w:sz w:val="18"/>
          <w:szCs w:val="18"/>
        </w:rPr>
        <w:t xml:space="preserve"> FIA Japan オペレーション委員会（事務局：FIA Japan / Tony Crane）</w:t>
      </w:r>
    </w:p>
    <w:p w14:paraId="04BD446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収集回答の活用先：</w:t>
      </w:r>
    </w:p>
    <w:p w14:paraId="2C82CFAC" w14:textId="77777777" w:rsidR="009C00E4" w:rsidRPr="005453FB" w:rsidRDefault="009C00E4" w:rsidP="009C00E4">
      <w:pPr>
        <w:numPr>
          <w:ilvl w:val="0"/>
          <w:numId w:val="12"/>
        </w:num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FIA Japanオペレーション委員会における業界標準およびガイドラインの策定</w:t>
      </w:r>
    </w:p>
    <w:p w14:paraId="282722D2" w14:textId="77777777" w:rsidR="009C00E4" w:rsidRPr="005453FB" w:rsidRDefault="009C00E4" w:rsidP="009C00E4">
      <w:pPr>
        <w:numPr>
          <w:ilvl w:val="0"/>
          <w:numId w:val="12"/>
        </w:num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JSDAにおける関連規則・ガイドラインの見直しに向けた提案</w:t>
      </w:r>
    </w:p>
    <w:p w14:paraId="006F9C06" w14:textId="77777777" w:rsidR="009C00E4" w:rsidRPr="005453FB" w:rsidRDefault="009C00E4" w:rsidP="009C00E4">
      <w:pPr>
        <w:numPr>
          <w:ilvl w:val="0"/>
          <w:numId w:val="12"/>
        </w:num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投資家保護およびグローバル基準との整合性を踏まえた、国内先物ポストトレード業務の標準化</w:t>
      </w:r>
    </w:p>
    <w:p w14:paraId="2763721C" w14:textId="43D1D788"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6" w:name="スケジュール"/>
      <w:r w:rsidRPr="005453FB">
        <w:rPr>
          <w:rFonts w:ascii="BIZ UDPゴシック" w:eastAsia="BIZ UDPゴシック" w:hAnsi="BIZ UDPゴシック" w:cs="Calibri"/>
          <w:sz w:val="24"/>
          <w:szCs w:val="24"/>
        </w:rPr>
        <w:t>スケジュール</w:t>
      </w:r>
      <w:bookmarkEnd w:id="6"/>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3256"/>
        <w:gridCol w:w="5768"/>
      </w:tblGrid>
      <w:tr w:rsidR="00FC137A" w:rsidRPr="005453FB" w14:paraId="2894A31A" w14:textId="77777777" w:rsidTr="00037B41">
        <w:tc>
          <w:tcPr>
            <w:tcW w:w="500" w:type="auto"/>
            <w:tcMar>
              <w:left w:w="60" w:type="dxa"/>
              <w:right w:w="60" w:type="dxa"/>
            </w:tcMar>
            <w:vAlign w:val="center"/>
          </w:tcPr>
          <w:p w14:paraId="2496A539" w14:textId="77777777" w:rsidR="00FC137A" w:rsidRPr="005453FB" w:rsidRDefault="00FC137A" w:rsidP="00D060FC">
            <w:pPr>
              <w:spacing w:before="0" w:after="0"/>
              <w:contextualSpacing/>
              <w:rPr>
                <w:rFonts w:ascii="BIZ UDPゴシック" w:eastAsia="BIZ UDPゴシック" w:hAnsi="BIZ UDPゴシック" w:cs="Calibri"/>
                <w:b/>
                <w:bCs/>
              </w:rPr>
            </w:pPr>
            <w:r w:rsidRPr="005453FB">
              <w:rPr>
                <w:rFonts w:ascii="BIZ UDPゴシック" w:eastAsia="BIZ UDPゴシック" w:hAnsi="BIZ UDPゴシック" w:cs="Calibri"/>
                <w:b/>
                <w:bCs/>
              </w:rPr>
              <w:t>回答期限</w:t>
            </w:r>
          </w:p>
        </w:tc>
        <w:tc>
          <w:tcPr>
            <w:tcW w:w="500" w:type="auto"/>
            <w:tcMar>
              <w:left w:w="60" w:type="dxa"/>
              <w:right w:w="60" w:type="dxa"/>
            </w:tcMar>
            <w:vAlign w:val="center"/>
          </w:tcPr>
          <w:p w14:paraId="424D3FC8" w14:textId="2F0C4EFA" w:rsidR="00FC137A" w:rsidRPr="005453FB" w:rsidRDefault="00FC137A" w:rsidP="00D060FC">
            <w:pPr>
              <w:spacing w:before="0" w:after="0"/>
              <w:contextualSpacing/>
              <w:rPr>
                <w:rFonts w:ascii="BIZ UDPゴシック" w:eastAsia="BIZ UDPゴシック" w:hAnsi="BIZ UDPゴシック" w:cs="Calibri"/>
                <w:b/>
                <w:bCs/>
              </w:rPr>
            </w:pPr>
            <w:r w:rsidRPr="005453FB">
              <w:rPr>
                <w:rFonts w:ascii="BIZ UDPゴシック" w:eastAsia="BIZ UDPゴシック" w:hAnsi="BIZ UDPゴシック" w:cs="Calibri"/>
                <w:b/>
                <w:bCs/>
              </w:rPr>
              <w:t>2026年</w:t>
            </w:r>
            <w:r w:rsidR="00EA1DCD" w:rsidRPr="005453FB">
              <w:rPr>
                <w:rFonts w:ascii="BIZ UDPゴシック" w:eastAsia="BIZ UDPゴシック" w:hAnsi="BIZ UDPゴシック" w:cs="Calibri" w:hint="eastAsia"/>
                <w:b/>
                <w:bCs/>
              </w:rPr>
              <w:t>9</w:t>
            </w:r>
            <w:r w:rsidRPr="005453FB">
              <w:rPr>
                <w:rFonts w:ascii="BIZ UDPゴシック" w:eastAsia="BIZ UDPゴシック" w:hAnsi="BIZ UDPゴシック" w:cs="Calibri"/>
                <w:b/>
                <w:bCs/>
              </w:rPr>
              <w:t>月末</w:t>
            </w:r>
          </w:p>
        </w:tc>
      </w:tr>
    </w:tbl>
    <w:p w14:paraId="2E58ED5C" w14:textId="77777777" w:rsidR="00FC137A" w:rsidRPr="005453FB" w:rsidRDefault="00FC137A" w:rsidP="00D060FC">
      <w:pPr>
        <w:pBdr>
          <w:top w:val="single" w:sz="6" w:space="0" w:color="auto"/>
        </w:pBdr>
        <w:spacing w:before="0" w:after="0"/>
        <w:contextualSpacing/>
        <w:rPr>
          <w:rFonts w:ascii="BIZ UDPゴシック" w:eastAsia="BIZ UDPゴシック" w:hAnsi="BIZ UDPゴシック" w:cs="Calibri"/>
          <w:sz w:val="18"/>
          <w:szCs w:val="18"/>
        </w:rPr>
      </w:pPr>
    </w:p>
    <w:p w14:paraId="2D1D702B" w14:textId="1E301D60" w:rsidR="000669EA" w:rsidRPr="005453FB" w:rsidRDefault="00F54783" w:rsidP="00D060FC">
      <w:pPr>
        <w:pStyle w:val="1"/>
        <w:spacing w:before="0"/>
        <w:contextualSpacing/>
        <w:rPr>
          <w:rFonts w:ascii="BIZ UDPゴシック" w:eastAsia="BIZ UDPゴシック" w:hAnsi="BIZ UDPゴシック" w:cs="Calibri"/>
          <w:sz w:val="24"/>
          <w:szCs w:val="24"/>
        </w:rPr>
      </w:pPr>
      <w:bookmarkStart w:id="7" w:name="■-設問（q①〜q⑤）"/>
      <w:r w:rsidRPr="005453FB">
        <w:rPr>
          <w:rFonts w:ascii="BIZ UDPゴシック" w:eastAsia="BIZ UDPゴシック" w:hAnsi="BIZ UDPゴシック" w:cs="Courier New"/>
          <w:sz w:val="24"/>
          <w:szCs w:val="24"/>
        </w:rPr>
        <w:t>■</w:t>
      </w:r>
      <w:r w:rsidRPr="005453FB">
        <w:rPr>
          <w:rFonts w:ascii="BIZ UDPゴシック" w:eastAsia="BIZ UDPゴシック" w:hAnsi="BIZ UDPゴシック" w:cs="Calibri"/>
          <w:sz w:val="24"/>
          <w:szCs w:val="24"/>
        </w:rPr>
        <w:t xml:space="preserve"> 設問（Q①〜Q</w:t>
      </w:r>
      <w:r w:rsidR="00D060FC" w:rsidRPr="005453FB">
        <w:rPr>
          <w:rFonts w:ascii="BIZ UDPゴシック" w:eastAsia="BIZ UDPゴシック" w:hAnsi="BIZ UDPゴシック" w:cs="Calibri" w:hint="eastAsia"/>
          <w:sz w:val="24"/>
          <w:szCs w:val="24"/>
        </w:rPr>
        <w:t>⑧</w:t>
      </w:r>
      <w:r w:rsidRPr="005453FB">
        <w:rPr>
          <w:rFonts w:ascii="BIZ UDPゴシック" w:eastAsia="BIZ UDPゴシック" w:hAnsi="BIZ UDPゴシック" w:cs="Calibri"/>
          <w:sz w:val="24"/>
          <w:szCs w:val="24"/>
        </w:rPr>
        <w:t>）</w:t>
      </w:r>
      <w:bookmarkEnd w:id="7"/>
    </w:p>
    <w:p w14:paraId="4DE5CE81" w14:textId="77777777" w:rsidR="003D0880" w:rsidRPr="005453FB" w:rsidRDefault="00FC137A" w:rsidP="00D060FC">
      <w:pPr>
        <w:spacing w:before="0" w:after="0"/>
        <w:jc w:val="center"/>
        <w:rPr>
          <w:rFonts w:ascii="BIZ UDPゴシック" w:eastAsia="BIZ UDPゴシック" w:hAnsi="BIZ UDPゴシック" w:cs="Calibri"/>
          <w:b/>
          <w:bCs/>
          <w:sz w:val="28"/>
          <w:szCs w:val="28"/>
        </w:rPr>
      </w:pPr>
      <w:bookmarkStart w:id="8" w:name="appendix：標準化の背景・根拠資料"/>
      <w:r w:rsidRPr="005453FB">
        <w:rPr>
          <w:rFonts w:ascii="BIZ UDPゴシック" w:eastAsia="BIZ UDPゴシック" w:hAnsi="BIZ UDPゴシック" w:cs="Calibri"/>
          <w:sz w:val="44"/>
          <w:szCs w:val="44"/>
        </w:rPr>
        <w:br w:type="page"/>
      </w:r>
      <w:r w:rsidR="003D0880" w:rsidRPr="005453FB">
        <w:rPr>
          <w:rFonts w:ascii="BIZ UDPゴシック" w:eastAsia="BIZ UDPゴシック" w:hAnsi="BIZ UDPゴシック" w:cs="Calibri"/>
          <w:b/>
          <w:bCs/>
          <w:sz w:val="28"/>
          <w:szCs w:val="28"/>
        </w:rPr>
        <w:lastRenderedPageBreak/>
        <w:t>国内先物ポストトレード標準化に関する</w:t>
      </w:r>
    </w:p>
    <w:p w14:paraId="043014D1" w14:textId="77777777" w:rsidR="003D0880" w:rsidRPr="005453FB" w:rsidRDefault="003D0880" w:rsidP="00D060FC">
      <w:pPr>
        <w:spacing w:before="0" w:after="0"/>
        <w:jc w:val="center"/>
        <w:rPr>
          <w:rFonts w:ascii="BIZ UDPゴシック" w:eastAsia="BIZ UDPゴシック" w:hAnsi="BIZ UDPゴシック" w:cs="Calibri"/>
          <w:b/>
          <w:bCs/>
          <w:sz w:val="28"/>
          <w:szCs w:val="28"/>
        </w:rPr>
      </w:pPr>
      <w:r w:rsidRPr="005453FB">
        <w:rPr>
          <w:rFonts w:ascii="BIZ UDPゴシック" w:eastAsia="BIZ UDPゴシック" w:hAnsi="BIZ UDPゴシック" w:cs="Calibri"/>
          <w:b/>
          <w:bCs/>
          <w:sz w:val="28"/>
          <w:szCs w:val="28"/>
        </w:rPr>
        <w:t>建玉決済方法および平均単価計算方法についての質問票</w:t>
      </w:r>
    </w:p>
    <w:p w14:paraId="649180AD" w14:textId="77777777" w:rsidR="003D0880" w:rsidRPr="005453FB" w:rsidRDefault="003D0880" w:rsidP="00D060FC">
      <w:pPr>
        <w:spacing w:before="0" w:after="0"/>
        <w:rPr>
          <w:rFonts w:ascii="BIZ UDPゴシック" w:eastAsia="BIZ UDPゴシック" w:hAnsi="BIZ UDPゴシック" w:cs="Calibri"/>
          <w:b/>
          <w:bCs/>
        </w:rPr>
      </w:pPr>
    </w:p>
    <w:p w14:paraId="043D4EB7" w14:textId="4623C035"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【質問①】</w:t>
      </w:r>
    </w:p>
    <w:p w14:paraId="3F0171FC"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ポストトレードの実務において、建玉決済方法および平均単価計算方法について、貴社では現在どのように対応されていますか。</w:t>
      </w:r>
    </w:p>
    <w:p w14:paraId="357EB088" w14:textId="77777777" w:rsidR="003D0880" w:rsidRPr="005453FB" w:rsidRDefault="003D0880" w:rsidP="00D060FC">
      <w:pPr>
        <w:widowControl/>
        <w:numPr>
          <w:ilvl w:val="0"/>
          <w:numId w:val="7"/>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システム対応済み（自社開発・外部委託を含む）</w:t>
      </w:r>
    </w:p>
    <w:p w14:paraId="58471F08" w14:textId="77777777" w:rsidR="003D0880" w:rsidRPr="005453FB" w:rsidRDefault="003D0880" w:rsidP="00D060FC">
      <w:pPr>
        <w:widowControl/>
        <w:numPr>
          <w:ilvl w:val="0"/>
          <w:numId w:val="7"/>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システム対応と手作業の併用</w:t>
      </w:r>
    </w:p>
    <w:p w14:paraId="3B7E56A4" w14:textId="77777777" w:rsidR="003D0880" w:rsidRPr="005453FB" w:rsidRDefault="003D0880" w:rsidP="00D060FC">
      <w:pPr>
        <w:widowControl/>
        <w:numPr>
          <w:ilvl w:val="0"/>
          <w:numId w:val="7"/>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手作業のみ</w:t>
      </w:r>
    </w:p>
    <w:p w14:paraId="78CE9828" w14:textId="77777777" w:rsidR="003D0880" w:rsidRPr="005453FB" w:rsidRDefault="0000000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pict w14:anchorId="79780927">
          <v:rect id="_x0000_i1025" style="width:441.9pt;height:1.5pt" o:hralign="center" o:hrstd="t" o:hr="t" fillcolor="#a0a0a0" stroked="f"/>
        </w:pict>
      </w:r>
    </w:p>
    <w:p w14:paraId="28B03AC8"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【質問②】</w:t>
      </w:r>
    </w:p>
    <w:p w14:paraId="0BCBD510"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ポストトレードの標準化の一環として、建玉決済方法および平均単価計算方法が業界標準として定義・確立された場合、貴社では既存の方法から標準方式へ移行する予定はありますか。</w:t>
      </w:r>
    </w:p>
    <w:p w14:paraId="25B98874" w14:textId="77777777" w:rsidR="003D0880" w:rsidRPr="005453FB" w:rsidRDefault="003D0880" w:rsidP="00D060FC">
      <w:pPr>
        <w:widowControl/>
        <w:numPr>
          <w:ilvl w:val="0"/>
          <w:numId w:val="8"/>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変更を検討する</w:t>
      </w:r>
    </w:p>
    <w:p w14:paraId="59B4821C" w14:textId="77777777" w:rsidR="003D0880" w:rsidRPr="005453FB" w:rsidRDefault="003D0880" w:rsidP="00D060FC">
      <w:pPr>
        <w:widowControl/>
        <w:numPr>
          <w:ilvl w:val="0"/>
          <w:numId w:val="8"/>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証券会社またはシステムベンダーが現行方式をサポートし続ける限り、現行方式を維持する</w:t>
      </w:r>
    </w:p>
    <w:p w14:paraId="7CF0604F"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上記で「現行方式を維持する」と回答された場合、その背景について該当するものをお選びください（複数選択可）。</w:t>
      </w:r>
    </w:p>
    <w:p w14:paraId="2CABA55F" w14:textId="77777777" w:rsidR="003D0880" w:rsidRPr="005453FB" w:rsidRDefault="003D0880" w:rsidP="00D060FC">
      <w:pPr>
        <w:widowControl/>
        <w:numPr>
          <w:ilvl w:val="0"/>
          <w:numId w:val="9"/>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自社システム上の制約</w:t>
      </w:r>
    </w:p>
    <w:p w14:paraId="4FF3EBED" w14:textId="77777777" w:rsidR="003D0880" w:rsidRPr="005453FB" w:rsidRDefault="003D0880" w:rsidP="00D060FC">
      <w:pPr>
        <w:widowControl/>
        <w:numPr>
          <w:ilvl w:val="0"/>
          <w:numId w:val="9"/>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外部システム／ベンダーの制約</w:t>
      </w:r>
    </w:p>
    <w:p w14:paraId="5BAEC8B3" w14:textId="77777777" w:rsidR="003D0880" w:rsidRPr="005453FB" w:rsidRDefault="003D0880" w:rsidP="00D060FC">
      <w:pPr>
        <w:widowControl/>
        <w:numPr>
          <w:ilvl w:val="0"/>
          <w:numId w:val="9"/>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会計・法定帳簿上の要件</w:t>
      </w:r>
    </w:p>
    <w:p w14:paraId="5B56608E" w14:textId="77777777" w:rsidR="003D0880" w:rsidRPr="005453FB" w:rsidRDefault="003D0880" w:rsidP="00D060FC">
      <w:pPr>
        <w:widowControl/>
        <w:numPr>
          <w:ilvl w:val="0"/>
          <w:numId w:val="9"/>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運用パフォーマンス管理上の理由</w:t>
      </w:r>
    </w:p>
    <w:p w14:paraId="1BC30626" w14:textId="77777777" w:rsidR="003D0880" w:rsidRPr="005453FB" w:rsidRDefault="003D0880" w:rsidP="00D060FC">
      <w:pPr>
        <w:widowControl/>
        <w:numPr>
          <w:ilvl w:val="0"/>
          <w:numId w:val="9"/>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その他（　　　　　　　　　　　　　）</w:t>
      </w:r>
    </w:p>
    <w:p w14:paraId="23CF9C20" w14:textId="77777777" w:rsidR="003D0880" w:rsidRPr="005453FB" w:rsidRDefault="003D0880" w:rsidP="00D060FC">
      <w:pPr>
        <w:spacing w:before="0" w:after="0"/>
        <w:rPr>
          <w:rFonts w:ascii="BIZ UDPゴシック" w:eastAsia="BIZ UDPゴシック" w:hAnsi="BIZ UDPゴシック" w:cs="Calibri"/>
          <w:b/>
          <w:bCs/>
        </w:rPr>
      </w:pPr>
    </w:p>
    <w:p w14:paraId="6EA53391" w14:textId="77777777" w:rsidR="003D0880" w:rsidRPr="005453FB" w:rsidRDefault="0000000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pict w14:anchorId="0D042877">
          <v:rect id="_x0000_i1026" style="width:441.9pt;height:1.5pt" o:hralign="center" o:hrstd="t" o:hr="t" fillcolor="#a0a0a0" stroked="f"/>
        </w:pict>
      </w:r>
    </w:p>
    <w:p w14:paraId="52B82781"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【質問③】</w:t>
      </w:r>
    </w:p>
    <w:p w14:paraId="7DD05401"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質問②において「変更を検討する」と回答された場合、実務上必要と想定される移行期間について、最も近いものをお選びください。</w:t>
      </w:r>
    </w:p>
    <w:p w14:paraId="3C33A9E4"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半年未満</w:t>
      </w:r>
    </w:p>
    <w:p w14:paraId="25096FAA"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約1年</w:t>
      </w:r>
    </w:p>
    <w:p w14:paraId="760D8C72"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約2年</w:t>
      </w:r>
    </w:p>
    <w:p w14:paraId="00D1DA65"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3年以上</w:t>
      </w:r>
    </w:p>
    <w:p w14:paraId="0DB3F43D"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ＭＳ 明朝" w:hint="eastAsia"/>
          <w:b/>
          <w:bCs/>
        </w:rPr>
        <w:t>※</w:t>
      </w:r>
      <w:r w:rsidRPr="005453FB">
        <w:rPr>
          <w:rFonts w:ascii="BIZ UDPゴシック" w:eastAsia="BIZ UDPゴシック" w:hAnsi="BIZ UDPゴシック" w:cs="Calibri"/>
          <w:b/>
          <w:bCs/>
        </w:rPr>
        <w:t xml:space="preserve"> 社内システム対応、ベンダー調整、顧客への周知などを含めた実務的な観点でお答えください。</w:t>
      </w:r>
    </w:p>
    <w:p w14:paraId="4BAD8DB2" w14:textId="77777777" w:rsidR="003D0880" w:rsidRPr="005453FB" w:rsidRDefault="003D0880" w:rsidP="00D060FC">
      <w:pPr>
        <w:spacing w:before="0" w:after="0"/>
        <w:rPr>
          <w:rFonts w:ascii="BIZ UDPゴシック" w:eastAsia="BIZ UDPゴシック" w:hAnsi="BIZ UDPゴシック" w:cs="Calibri"/>
          <w:b/>
          <w:bCs/>
        </w:rPr>
      </w:pPr>
    </w:p>
    <w:p w14:paraId="5C21BA38" w14:textId="77777777" w:rsidR="003D0880" w:rsidRPr="005453FB" w:rsidRDefault="0000000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pict w14:anchorId="7391041E">
          <v:rect id="_x0000_i1027" style="width:441.9pt;height:1.5pt" o:hralign="center" o:hrstd="t" o:hr="t" fillcolor="#a0a0a0" stroked="f"/>
        </w:pict>
      </w:r>
    </w:p>
    <w:p w14:paraId="14F1E2B1" w14:textId="0C82D7B0"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【質問④】</w:t>
      </w:r>
      <w:r w:rsidRPr="005453FB">
        <w:rPr>
          <w:rFonts w:ascii="BIZ UDPゴシック" w:eastAsia="BIZ UDPゴシック" w:hAnsi="BIZ UDPゴシック" w:cs="Calibri"/>
          <w:b/>
          <w:bCs/>
        </w:rPr>
        <w:br/>
        <w:t>貴社における現在の建玉管理の方法についてご教示ください。</w:t>
      </w:r>
    </w:p>
    <w:p w14:paraId="1E926CCE" w14:textId="17AD0F66" w:rsidR="003D0880" w:rsidRPr="005453FB" w:rsidRDefault="003D0880" w:rsidP="00D060FC">
      <w:pPr>
        <w:spacing w:before="0" w:after="0"/>
        <w:rPr>
          <w:rFonts w:ascii="BIZ UDPゴシック" w:eastAsia="BIZ UDPゴシック" w:hAnsi="BIZ UDPゴシック" w:cs="Calibri"/>
          <w:b/>
          <w:bCs/>
        </w:rPr>
      </w:pPr>
      <w:bookmarkStart w:id="9" w:name="_Hlk231216370"/>
      <w:r w:rsidRPr="005453FB">
        <w:rPr>
          <w:rFonts w:ascii="BIZ UDPゴシック" w:eastAsia="BIZ UDPゴシック" w:hAnsi="BIZ UDPゴシック" w:cs="Calibri"/>
          <w:b/>
          <w:bCs/>
        </w:rPr>
        <w:t>OSEにおける「取引日」は、夜間取引の開始から、その翌営業日のデイ・セッションの終了時までをいい</w:t>
      </w:r>
      <w:r w:rsidRPr="005453FB">
        <w:rPr>
          <w:rFonts w:ascii="BIZ UDPゴシック" w:eastAsia="BIZ UDPゴシック" w:hAnsi="BIZ UDPゴシック" w:cs="Calibri"/>
          <w:b/>
          <w:bCs/>
        </w:rPr>
        <w:lastRenderedPageBreak/>
        <w:t>ますが、（例：5月14日のデイ・セッション後の夜間取引における取引日は5月15日）建玉の管理としてはどのような取り扱いとなりますでしょうか？下記</w:t>
      </w:r>
      <w:r w:rsidR="00740A1C" w:rsidRPr="005453FB">
        <w:rPr>
          <w:rFonts w:ascii="BIZ UDPゴシック" w:eastAsia="BIZ UDPゴシック" w:hAnsi="BIZ UDPゴシック" w:cs="Calibri" w:hint="eastAsia"/>
          <w:b/>
          <w:bCs/>
        </w:rPr>
        <w:t>1-5</w:t>
      </w:r>
      <w:r w:rsidRPr="005453FB">
        <w:rPr>
          <w:rFonts w:ascii="BIZ UDPゴシック" w:eastAsia="BIZ UDPゴシック" w:hAnsi="BIZ UDPゴシック" w:cs="Calibri"/>
          <w:b/>
          <w:bCs/>
        </w:rPr>
        <w:t>よりご選択ください。</w:t>
      </w:r>
    </w:p>
    <w:p w14:paraId="43ED6662" w14:textId="681AE5EA" w:rsidR="00B62916" w:rsidRPr="005453FB" w:rsidRDefault="00B62916"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*現状、平均単価処理においては、法令上、実際に約定された日付を基準として、建玉管理が行われていることを前提としております。</w:t>
      </w:r>
    </w:p>
    <w:p w14:paraId="7264DFC4"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　　　　　　　　　　　　　　　　　　　　　　　　　）</w:t>
      </w:r>
    </w:p>
    <w:bookmarkEnd w:id="9"/>
    <w:p w14:paraId="1FBBA248" w14:textId="6BD63707" w:rsidR="003D0880" w:rsidRPr="005453FB" w:rsidRDefault="00740A1C"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hint="eastAsia"/>
          <w:b/>
          <w:bCs/>
        </w:rPr>
        <w:t>1）</w:t>
      </w:r>
      <w:r w:rsidR="003D0880" w:rsidRPr="005453FB">
        <w:rPr>
          <w:rFonts w:ascii="BIZ UDPゴシック" w:eastAsia="BIZ UDPゴシック" w:hAnsi="BIZ UDPゴシック" w:cs="Calibri"/>
          <w:b/>
          <w:bCs/>
        </w:rPr>
        <w:t>夜間取引の約定分は、夜間取引後のデイ・セッション約定分と同一日の建玉として管理している（例：5月14日のデイ・セッション後の夜間取引の約定分は5月15日の建玉として取り扱っている）</w:t>
      </w:r>
      <w:r w:rsidR="003D0880" w:rsidRPr="005453FB">
        <w:rPr>
          <w:rFonts w:ascii="BIZ UDPゴシック" w:eastAsia="BIZ UDPゴシック" w:hAnsi="BIZ UDPゴシック" w:cs="Calibri"/>
          <w:b/>
          <w:bCs/>
        </w:rPr>
        <w:br/>
      </w:r>
      <w:r w:rsidR="003D0880" w:rsidRPr="005453FB">
        <w:rPr>
          <w:rFonts w:ascii="BIZ UDPゴシック" w:eastAsia="BIZ UDPゴシック" w:hAnsi="BIZ UDPゴシック" w:cs="Calibri"/>
          <w:noProof/>
        </w:rPr>
        <w:drawing>
          <wp:inline distT="0" distB="0" distL="0" distR="0" wp14:anchorId="1B2A65C9" wp14:editId="448F8C43">
            <wp:extent cx="5943600" cy="1155065"/>
            <wp:effectExtent l="19050" t="19050" r="19050" b="260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155065"/>
                    </a:xfrm>
                    <a:prstGeom prst="rect">
                      <a:avLst/>
                    </a:prstGeom>
                    <a:noFill/>
                    <a:ln>
                      <a:solidFill>
                        <a:schemeClr val="bg1">
                          <a:lumMod val="50000"/>
                        </a:schemeClr>
                      </a:solidFill>
                    </a:ln>
                  </pic:spPr>
                </pic:pic>
              </a:graphicData>
            </a:graphic>
          </wp:inline>
        </w:drawing>
      </w:r>
      <w:r w:rsidR="003D0880" w:rsidRPr="005453FB">
        <w:rPr>
          <w:rFonts w:ascii="BIZ UDPゴシック" w:eastAsia="BIZ UDPゴシック" w:hAnsi="BIZ UDPゴシック" w:cs="Calibri"/>
          <w:b/>
          <w:bCs/>
        </w:rPr>
        <w:br/>
      </w:r>
    </w:p>
    <w:p w14:paraId="7C4D5D06" w14:textId="22EFADD8" w:rsidR="003D0880" w:rsidRPr="005453FB" w:rsidRDefault="00740A1C"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hint="eastAsia"/>
          <w:b/>
          <w:bCs/>
        </w:rPr>
        <w:t>2）</w:t>
      </w:r>
      <w:r w:rsidR="003D0880" w:rsidRPr="005453FB">
        <w:rPr>
          <w:rFonts w:ascii="BIZ UDPゴシック" w:eastAsia="BIZ UDPゴシック" w:hAnsi="BIZ UDPゴシック" w:cs="Calibri"/>
          <w:b/>
          <w:bCs/>
        </w:rPr>
        <w:t>夜間取引の約定分は、夜間取引前のデイ・セッション約定分と同一日の建玉として管理している（例：5月14日のデイ・セッション後の夜間取引の約定分は5月14日の建玉として取り扱っている）</w:t>
      </w:r>
      <w:r w:rsidR="003D0880" w:rsidRPr="005453FB">
        <w:rPr>
          <w:rFonts w:ascii="BIZ UDPゴシック" w:eastAsia="BIZ UDPゴシック" w:hAnsi="BIZ UDPゴシック" w:cs="Calibri"/>
          <w:b/>
          <w:bCs/>
        </w:rPr>
        <w:br/>
      </w:r>
      <w:r w:rsidR="003D0880" w:rsidRPr="005453FB">
        <w:rPr>
          <w:rFonts w:ascii="BIZ UDPゴシック" w:eastAsia="BIZ UDPゴシック" w:hAnsi="BIZ UDPゴシック" w:cs="Calibri"/>
          <w:noProof/>
        </w:rPr>
        <w:drawing>
          <wp:inline distT="0" distB="0" distL="0" distR="0" wp14:anchorId="5204C1AD" wp14:editId="1B86F3CC">
            <wp:extent cx="5943600" cy="1137285"/>
            <wp:effectExtent l="19050" t="19050" r="19050" b="2476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137285"/>
                    </a:xfrm>
                    <a:prstGeom prst="rect">
                      <a:avLst/>
                    </a:prstGeom>
                    <a:noFill/>
                    <a:ln>
                      <a:solidFill>
                        <a:schemeClr val="bg1">
                          <a:lumMod val="50000"/>
                        </a:schemeClr>
                      </a:solidFill>
                    </a:ln>
                  </pic:spPr>
                </pic:pic>
              </a:graphicData>
            </a:graphic>
          </wp:inline>
        </w:drawing>
      </w:r>
    </w:p>
    <w:p w14:paraId="3EF6AA36" w14:textId="77777777" w:rsidR="003D0880" w:rsidRPr="005453FB" w:rsidRDefault="003D0880" w:rsidP="00D060FC">
      <w:pPr>
        <w:spacing w:before="0" w:after="0"/>
        <w:rPr>
          <w:rFonts w:ascii="BIZ UDPゴシック" w:eastAsia="BIZ UDPゴシック" w:hAnsi="BIZ UDPゴシック" w:cs="Calibri"/>
          <w:b/>
          <w:bCs/>
        </w:rPr>
      </w:pPr>
    </w:p>
    <w:p w14:paraId="7028D01A" w14:textId="5FED05B1" w:rsidR="003D0880" w:rsidRPr="005453FB" w:rsidRDefault="00740A1C"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hint="eastAsia"/>
          <w:b/>
          <w:bCs/>
        </w:rPr>
        <w:t>3）</w:t>
      </w:r>
      <w:r w:rsidR="003D0880" w:rsidRPr="005453FB">
        <w:rPr>
          <w:rFonts w:ascii="BIZ UDPゴシック" w:eastAsia="BIZ UDPゴシック" w:hAnsi="BIZ UDPゴシック" w:cs="Calibri"/>
          <w:b/>
          <w:bCs/>
        </w:rPr>
        <w:t>夜間取引の約定分は、日付を跨いだ取引かどうかを区別し、日付を跨がない分については夜間取引前のデイ・セッション約定分と同一日の建玉として、日付を跨いだ分については、夜間取引後のデイ・セッション約定分と同一日の建玉として管理している（例：5月14日23時59分約定分は、5月14日の建玉として、5月15日0時1分約定分は5月15日の建玉として取り扱っている）</w:t>
      </w:r>
      <w:r w:rsidR="003D0880" w:rsidRPr="005453FB">
        <w:rPr>
          <w:rFonts w:ascii="BIZ UDPゴシック" w:eastAsia="BIZ UDPゴシック" w:hAnsi="BIZ UDPゴシック" w:cs="Calibri"/>
          <w:b/>
          <w:bCs/>
        </w:rPr>
        <w:br/>
      </w:r>
      <w:r w:rsidR="003D0880" w:rsidRPr="005453FB">
        <w:rPr>
          <w:rFonts w:ascii="BIZ UDPゴシック" w:eastAsia="BIZ UDPゴシック" w:hAnsi="BIZ UDPゴシック" w:cs="Calibri"/>
          <w:noProof/>
        </w:rPr>
        <w:drawing>
          <wp:inline distT="0" distB="0" distL="0" distR="0" wp14:anchorId="2343ACCE" wp14:editId="7649308D">
            <wp:extent cx="5943600" cy="1155065"/>
            <wp:effectExtent l="19050" t="19050" r="19050" b="2603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155065"/>
                    </a:xfrm>
                    <a:prstGeom prst="rect">
                      <a:avLst/>
                    </a:prstGeom>
                    <a:noFill/>
                    <a:ln>
                      <a:solidFill>
                        <a:schemeClr val="bg1">
                          <a:lumMod val="50000"/>
                        </a:schemeClr>
                      </a:solidFill>
                    </a:ln>
                  </pic:spPr>
                </pic:pic>
              </a:graphicData>
            </a:graphic>
          </wp:inline>
        </w:drawing>
      </w:r>
      <w:r w:rsidR="003D0880" w:rsidRPr="005453FB">
        <w:rPr>
          <w:rFonts w:ascii="BIZ UDPゴシック" w:eastAsia="BIZ UDPゴシック" w:hAnsi="BIZ UDPゴシック" w:cs="Calibri"/>
          <w:b/>
          <w:bCs/>
        </w:rPr>
        <w:br/>
      </w:r>
      <w:r w:rsidRPr="005453FB">
        <w:rPr>
          <w:rFonts w:ascii="BIZ UDPゴシック" w:eastAsia="BIZ UDPゴシック" w:hAnsi="BIZ UDPゴシック" w:cs="Calibri" w:hint="eastAsia"/>
          <w:b/>
          <w:bCs/>
        </w:rPr>
        <w:t>4）</w:t>
      </w:r>
      <w:r w:rsidR="003D0880" w:rsidRPr="005453FB">
        <w:rPr>
          <w:rFonts w:ascii="BIZ UDPゴシック" w:eastAsia="BIZ UDPゴシック" w:hAnsi="BIZ UDPゴシック" w:cs="Calibri"/>
          <w:b/>
          <w:bCs/>
        </w:rPr>
        <w:t>夜間取引の約定分とデイ・セッションの約定分を完全に区別して管理している（例：5月14日のデイ・セッションの建玉、5月14日から15日の夜間取引の建玉、5月15日のデイ・セッションの建玉に区分して取り扱っている）</w:t>
      </w:r>
    </w:p>
    <w:p w14:paraId="68C46E4D"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noProof/>
        </w:rPr>
        <w:lastRenderedPageBreak/>
        <w:drawing>
          <wp:inline distT="0" distB="0" distL="0" distR="0" wp14:anchorId="70D889A1" wp14:editId="3E24E1CB">
            <wp:extent cx="5943600" cy="1195070"/>
            <wp:effectExtent l="19050" t="19050" r="19050" b="2413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195070"/>
                    </a:xfrm>
                    <a:prstGeom prst="rect">
                      <a:avLst/>
                    </a:prstGeom>
                    <a:noFill/>
                    <a:ln>
                      <a:solidFill>
                        <a:schemeClr val="bg1">
                          <a:lumMod val="50000"/>
                        </a:schemeClr>
                      </a:solidFill>
                    </a:ln>
                  </pic:spPr>
                </pic:pic>
              </a:graphicData>
            </a:graphic>
          </wp:inline>
        </w:drawing>
      </w:r>
    </w:p>
    <w:p w14:paraId="48CEEDDD" w14:textId="77777777" w:rsidR="003D0880" w:rsidRPr="005453FB" w:rsidRDefault="003D0880" w:rsidP="00D060FC">
      <w:pPr>
        <w:spacing w:before="0" w:after="0"/>
        <w:rPr>
          <w:rFonts w:ascii="BIZ UDPゴシック" w:eastAsia="BIZ UDPゴシック" w:hAnsi="BIZ UDPゴシック" w:cs="Calibri"/>
          <w:b/>
          <w:bCs/>
        </w:rPr>
      </w:pPr>
    </w:p>
    <w:p w14:paraId="45880356" w14:textId="33717704" w:rsidR="003D0880" w:rsidRPr="005453FB" w:rsidRDefault="00740A1C"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hint="eastAsia"/>
          <w:b/>
          <w:bCs/>
        </w:rPr>
        <w:t>5）</w:t>
      </w:r>
      <w:r w:rsidR="003D0880" w:rsidRPr="005453FB">
        <w:rPr>
          <w:rFonts w:ascii="BIZ UDPゴシック" w:eastAsia="BIZ UDPゴシック" w:hAnsi="BIZ UDPゴシック" w:cs="Calibri"/>
          <w:b/>
          <w:bCs/>
        </w:rPr>
        <w:t>夜間取引（0時以降）の約定分及び翌営業日のデイ・セッションの約定分と夜間取引（23時59分まで）の約定分に区別して管理している。（約定日と受渡日がいずれも同一となる約定分を同一日の建玉として管理している。）</w:t>
      </w:r>
      <w:r w:rsidR="003D0880" w:rsidRPr="005453FB">
        <w:rPr>
          <w:rFonts w:ascii="BIZ UDPゴシック" w:eastAsia="BIZ UDPゴシック" w:hAnsi="BIZ UDPゴシック" w:cs="Calibri"/>
          <w:b/>
          <w:bCs/>
        </w:rPr>
        <w:br/>
      </w:r>
      <w:r w:rsidR="003D0880" w:rsidRPr="005453FB">
        <w:rPr>
          <w:rFonts w:ascii="BIZ UDPゴシック" w:eastAsia="BIZ UDPゴシック" w:hAnsi="BIZ UDPゴシック" w:cs="Calibri"/>
          <w:noProof/>
        </w:rPr>
        <w:drawing>
          <wp:inline distT="0" distB="0" distL="0" distR="0" wp14:anchorId="27F70FC6" wp14:editId="4C24EF67">
            <wp:extent cx="5943600" cy="1310640"/>
            <wp:effectExtent l="19050" t="19050" r="19050" b="2286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310640"/>
                    </a:xfrm>
                    <a:prstGeom prst="rect">
                      <a:avLst/>
                    </a:prstGeom>
                    <a:noFill/>
                    <a:ln>
                      <a:solidFill>
                        <a:schemeClr val="bg1">
                          <a:lumMod val="50000"/>
                        </a:schemeClr>
                      </a:solidFill>
                    </a:ln>
                  </pic:spPr>
                </pic:pic>
              </a:graphicData>
            </a:graphic>
          </wp:inline>
        </w:drawing>
      </w:r>
      <w:r w:rsidR="003D0880" w:rsidRPr="005453FB">
        <w:rPr>
          <w:rFonts w:ascii="BIZ UDPゴシック" w:eastAsia="BIZ UDPゴシック" w:hAnsi="BIZ UDPゴシック" w:cs="Calibri"/>
          <w:b/>
          <w:bCs/>
        </w:rPr>
        <w:br/>
      </w:r>
    </w:p>
    <w:p w14:paraId="0DF4E219" w14:textId="28CF6A34"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A051F1" w:rsidRPr="005453FB">
        <w:rPr>
          <w:rFonts w:ascii="BIZ UDPゴシック" w:eastAsia="BIZ UDPゴシック" w:hAnsi="BIZ UDPゴシック" w:cs="Calibri"/>
          <w:b/>
          <w:bCs/>
        </w:rPr>
        <w:t>⑤</w:t>
      </w:r>
      <w:r w:rsidRPr="005453FB">
        <w:rPr>
          <w:rFonts w:ascii="BIZ UDPゴシック" w:eastAsia="BIZ UDPゴシック" w:hAnsi="BIZ UDPゴシック" w:cs="Calibri"/>
          <w:b/>
          <w:bCs/>
        </w:rPr>
        <w:t>-</w:t>
      </w:r>
      <w:r w:rsidR="00A051F1" w:rsidRPr="005453FB">
        <w:rPr>
          <w:rFonts w:ascii="BIZ UDPゴシック" w:eastAsia="BIZ UDPゴシック" w:hAnsi="BIZ UDPゴシック" w:cs="Calibri"/>
          <w:b/>
          <w:bCs/>
        </w:rPr>
        <w:t>1</w:t>
      </w:r>
      <w:r w:rsidRPr="005453FB">
        <w:rPr>
          <w:rFonts w:ascii="BIZ UDPゴシック" w:eastAsia="BIZ UDPゴシック" w:hAnsi="BIZ UDPゴシック" w:cs="Calibri"/>
          <w:b/>
          <w:bCs/>
        </w:rPr>
        <w:t>】</w:t>
      </w:r>
    </w:p>
    <w:p w14:paraId="0692831F"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建玉決済方法の標準化にあたり、「取引日の古い順、同一取引日内は価格の安い順」をベースとし、この建玉決済ロジックに追加で組み込むべき要素があればご教示ください。</w:t>
      </w:r>
    </w:p>
    <w:p w14:paraId="3DBCEBEB"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（1.　　　　　　　　　　　　　　　　　　　　）</w:t>
      </w:r>
    </w:p>
    <w:p w14:paraId="13B35DEE"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（2.　　　　　　　　　　　　　　　　　　　　）</w:t>
      </w:r>
    </w:p>
    <w:p w14:paraId="632738D8" w14:textId="7DAB9E01" w:rsidR="003D0880" w:rsidRPr="005453FB" w:rsidRDefault="003D0880" w:rsidP="00D060FC">
      <w:pPr>
        <w:spacing w:before="0" w:after="0"/>
        <w:rPr>
          <w:rFonts w:ascii="BIZ UDPゴシック" w:eastAsia="BIZ UDPゴシック" w:hAnsi="BIZ UDPゴシック" w:cs="Calibri"/>
        </w:rPr>
      </w:pPr>
      <w:r w:rsidRPr="005453FB">
        <w:rPr>
          <w:rFonts w:ascii="BIZ UDPゴシック" w:eastAsia="BIZ UDPゴシック" w:hAnsi="BIZ UDPゴシック" w:cs="Calibri"/>
          <w:b/>
          <w:bCs/>
        </w:rPr>
        <w:t>例：約定日</w:t>
      </w:r>
      <w:r w:rsidRPr="005453FB">
        <w:rPr>
          <w:rFonts w:ascii="BIZ UDPゴシック" w:eastAsia="BIZ UDPゴシック" w:hAnsi="BIZ UDPゴシック" w:cs="Calibri"/>
        </w:rPr>
        <w:br/>
      </w:r>
    </w:p>
    <w:p w14:paraId="72BC97F3" w14:textId="7889307D"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A051F1" w:rsidRPr="005453FB">
        <w:rPr>
          <w:rFonts w:ascii="BIZ UDPゴシック" w:eastAsia="BIZ UDPゴシック" w:hAnsi="BIZ UDPゴシック" w:cs="Calibri"/>
          <w:b/>
          <w:bCs/>
        </w:rPr>
        <w:t>⑤</w:t>
      </w:r>
      <w:r w:rsidRPr="005453FB">
        <w:rPr>
          <w:rFonts w:ascii="BIZ UDPゴシック" w:eastAsia="BIZ UDPゴシック" w:hAnsi="BIZ UDPゴシック" w:cs="Calibri"/>
          <w:b/>
          <w:bCs/>
        </w:rPr>
        <w:t>-</w:t>
      </w:r>
      <w:r w:rsidR="00A051F1" w:rsidRPr="005453FB">
        <w:rPr>
          <w:rFonts w:ascii="BIZ UDPゴシック" w:eastAsia="BIZ UDPゴシック" w:hAnsi="BIZ UDPゴシック" w:cs="Calibri"/>
          <w:b/>
          <w:bCs/>
        </w:rPr>
        <w:t>2</w:t>
      </w:r>
      <w:r w:rsidRPr="005453FB">
        <w:rPr>
          <w:rFonts w:ascii="BIZ UDPゴシック" w:eastAsia="BIZ UDPゴシック" w:hAnsi="BIZ UDPゴシック" w:cs="Calibri"/>
          <w:b/>
          <w:bCs/>
        </w:rPr>
        <w:t>】</w:t>
      </w:r>
    </w:p>
    <w:p w14:paraId="481E2B2E" w14:textId="04AC212C"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A051F1" w:rsidRPr="005453FB">
        <w:rPr>
          <w:rFonts w:ascii="BIZ UDPゴシック" w:eastAsia="BIZ UDPゴシック" w:hAnsi="BIZ UDPゴシック" w:cs="Calibri"/>
          <w:b/>
          <w:bCs/>
        </w:rPr>
        <w:t>⑤</w:t>
      </w:r>
      <w:r w:rsidRPr="005453FB">
        <w:rPr>
          <w:rFonts w:ascii="BIZ UDPゴシック" w:eastAsia="BIZ UDPゴシック" w:hAnsi="BIZ UDPゴシック" w:cs="Calibri"/>
          <w:b/>
          <w:bCs/>
        </w:rPr>
        <w:t>-</w:t>
      </w:r>
      <w:r w:rsidR="00A051F1" w:rsidRPr="005453FB">
        <w:rPr>
          <w:rFonts w:ascii="BIZ UDPゴシック" w:eastAsia="BIZ UDPゴシック" w:hAnsi="BIZ UDPゴシック" w:cs="Calibri"/>
          <w:b/>
          <w:bCs/>
        </w:rPr>
        <w:t>1</w:t>
      </w:r>
      <w:r w:rsidRPr="005453FB">
        <w:rPr>
          <w:rFonts w:ascii="BIZ UDPゴシック" w:eastAsia="BIZ UDPゴシック" w:hAnsi="BIZ UDPゴシック" w:cs="Calibri"/>
          <w:b/>
          <w:bCs/>
        </w:rPr>
        <w:t>で、追加で組み込むべき要素がある場合、それらを反映した建玉決済ロジックの全体像及び各要素を追加すべき理由をご教示ください。</w:t>
      </w:r>
    </w:p>
    <w:p w14:paraId="486B5EC0"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・建玉決済ロジックの全体像</w:t>
      </w:r>
    </w:p>
    <w:p w14:paraId="5A1EB9D3"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　　　　　　　　　　　　　　　　　　　　）</w:t>
      </w:r>
    </w:p>
    <w:p w14:paraId="67CBB7D4"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・各要素を追加すべき理由</w:t>
      </w:r>
    </w:p>
    <w:p w14:paraId="0D583A9A"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　　　　　　　　　　　　　　　　　　　　）</w:t>
      </w:r>
    </w:p>
    <w:p w14:paraId="0CCCDFB8" w14:textId="77777777" w:rsidR="003D0880" w:rsidRPr="005453FB" w:rsidRDefault="003D0880" w:rsidP="00D060FC">
      <w:pPr>
        <w:spacing w:before="0" w:after="0"/>
        <w:rPr>
          <w:rFonts w:ascii="BIZ UDPゴシック" w:eastAsia="BIZ UDPゴシック" w:hAnsi="BIZ UDPゴシック" w:cs="Calibri"/>
          <w:b/>
          <w:bCs/>
        </w:rPr>
      </w:pPr>
    </w:p>
    <w:p w14:paraId="2AAF4B0B"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例：</w:t>
      </w:r>
    </w:p>
    <w:p w14:paraId="79182BBD" w14:textId="5FC89500"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・建玉決済ロジックの全体像　（取引日の古い順、同一取引日内は約定日の古い順、価格の安い順）</w:t>
      </w:r>
    </w:p>
    <w:p w14:paraId="1BA28235" w14:textId="4E40C81F"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・各要素を追加すべき理由　（同一取引日であっても、約定日が異なる場合があり、建玉管理上は別の建玉として管理しているため。）</w:t>
      </w:r>
    </w:p>
    <w:p w14:paraId="4469F0A3" w14:textId="77777777" w:rsidR="003D0880" w:rsidRPr="005453FB" w:rsidRDefault="003D0880" w:rsidP="00D060FC">
      <w:pPr>
        <w:spacing w:before="0" w:after="0"/>
        <w:rPr>
          <w:rFonts w:ascii="BIZ UDPゴシック" w:eastAsia="BIZ UDPゴシック" w:hAnsi="BIZ UDPゴシック" w:cs="Calibri"/>
        </w:rPr>
      </w:pPr>
    </w:p>
    <w:p w14:paraId="2F417EB3" w14:textId="4C8BB4DA"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A051F1" w:rsidRPr="005453FB">
        <w:rPr>
          <w:rFonts w:ascii="BIZ UDPゴシック" w:eastAsia="BIZ UDPゴシック" w:hAnsi="BIZ UDPゴシック" w:cs="Calibri"/>
          <w:b/>
          <w:bCs/>
        </w:rPr>
        <w:t>⑤</w:t>
      </w:r>
      <w:r w:rsidRPr="005453FB">
        <w:rPr>
          <w:rFonts w:ascii="BIZ UDPゴシック" w:eastAsia="BIZ UDPゴシック" w:hAnsi="BIZ UDPゴシック" w:cs="Calibri"/>
          <w:b/>
          <w:bCs/>
        </w:rPr>
        <w:t>-</w:t>
      </w:r>
      <w:r w:rsidR="00A051F1" w:rsidRPr="005453FB">
        <w:rPr>
          <w:rFonts w:ascii="BIZ UDPゴシック" w:eastAsia="BIZ UDPゴシック" w:hAnsi="BIZ UDPゴシック" w:cs="Calibri"/>
          <w:b/>
          <w:bCs/>
        </w:rPr>
        <w:t>3</w:t>
      </w:r>
      <w:r w:rsidRPr="005453FB">
        <w:rPr>
          <w:rFonts w:ascii="BIZ UDPゴシック" w:eastAsia="BIZ UDPゴシック" w:hAnsi="BIZ UDPゴシック" w:cs="Calibri"/>
          <w:b/>
          <w:bCs/>
        </w:rPr>
        <w:t>】</w:t>
      </w:r>
    </w:p>
    <w:p w14:paraId="7EA65890"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新規・決済区分のフラグ設定につき、口座開設時にあらかじめ合意した建玉決済ロジックに基づいて建玉決済を行うことにより、発注の都度新規・決済の区分を指定することをなくす場合、貴社の業務処理上に影響はございますか。影響がある場合、その事例もお聞かせください。</w:t>
      </w:r>
    </w:p>
    <w:p w14:paraId="4EA08DB7"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影響あり</w:t>
      </w:r>
    </w:p>
    <w:p w14:paraId="006973A3" w14:textId="77777777" w:rsidR="003D0880" w:rsidRPr="005453FB" w:rsidRDefault="003D0880"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影響なし</w:t>
      </w:r>
    </w:p>
    <w:p w14:paraId="6885D2A2"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影響ありの場合の具体例</w:t>
      </w:r>
    </w:p>
    <w:p w14:paraId="70EE8750"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　　　　　　　　　　　　　　　　　　　　　　　　　）</w:t>
      </w:r>
    </w:p>
    <w:p w14:paraId="35891301" w14:textId="77777777" w:rsidR="00D060FC" w:rsidRPr="005453FB" w:rsidRDefault="00D060FC" w:rsidP="00D060FC">
      <w:pPr>
        <w:spacing w:before="0" w:after="0"/>
        <w:rPr>
          <w:rFonts w:ascii="BIZ UDPゴシック" w:eastAsia="BIZ UDPゴシック" w:hAnsi="BIZ UDPゴシック" w:cs="Calibri"/>
          <w:b/>
          <w:bCs/>
        </w:rPr>
      </w:pPr>
    </w:p>
    <w:p w14:paraId="459CAF04" w14:textId="43F5534A" w:rsidR="00B62916" w:rsidRPr="005453FB" w:rsidRDefault="00B62916"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【質問⑥】</w:t>
      </w:r>
    </w:p>
    <w:p w14:paraId="2413E840" w14:textId="693C9B6B" w:rsidR="003D0880" w:rsidRPr="005453FB" w:rsidRDefault="00EE0CC1"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平均単価標準化にあたり、海外取引所と同様に約定日を越えて取引日ごとに平均単価を作成することへの賛否をお聞かせください。</w:t>
      </w:r>
    </w:p>
    <w:p w14:paraId="23B60B37" w14:textId="087B1A76" w:rsidR="006B1280" w:rsidRPr="005453FB" w:rsidRDefault="00684742" w:rsidP="00684742">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hint="eastAsia"/>
          <w:b/>
          <w:bCs/>
        </w:rPr>
        <w:t>（</w:t>
      </w:r>
      <w:r w:rsidRPr="005453FB">
        <w:rPr>
          <w:rFonts w:ascii="BIZ UDPゴシック" w:eastAsia="BIZ UDPゴシック" w:hAnsi="BIZ UDPゴシック" w:cs="Calibri"/>
          <w:b/>
          <w:bCs/>
        </w:rPr>
        <w:t>具体的には、現状のJSDAのルールでは、例えば2026年7月</w:t>
      </w:r>
      <w:r w:rsidRPr="005453FB">
        <w:rPr>
          <w:rFonts w:ascii="BIZ UDPゴシック" w:eastAsia="BIZ UDPゴシック" w:hAnsi="BIZ UDPゴシック" w:cs="Calibri" w:hint="eastAsia"/>
          <w:b/>
          <w:bCs/>
        </w:rPr>
        <w:t>1</w:t>
      </w:r>
      <w:r w:rsidRPr="005453FB">
        <w:rPr>
          <w:rFonts w:ascii="BIZ UDPゴシック" w:eastAsia="BIZ UDPゴシック" w:hAnsi="BIZ UDPゴシック" w:cs="Calibri"/>
          <w:b/>
          <w:bCs/>
        </w:rPr>
        <w:t>日</w:t>
      </w:r>
      <w:r w:rsidRPr="005453FB">
        <w:rPr>
          <w:rFonts w:ascii="BIZ UDPゴシック" w:eastAsia="BIZ UDPゴシック" w:hAnsi="BIZ UDPゴシック" w:cs="Calibri" w:hint="eastAsia"/>
          <w:b/>
          <w:bCs/>
        </w:rPr>
        <w:t>23時にOSE夜間取引にて</w:t>
      </w:r>
      <w:r w:rsidRPr="005453FB">
        <w:rPr>
          <w:rFonts w:ascii="BIZ UDPゴシック" w:eastAsia="BIZ UDPゴシック" w:hAnsi="BIZ UDPゴシック" w:cs="Calibri"/>
          <w:b/>
          <w:bCs/>
        </w:rPr>
        <w:t>購入した建玉と、2026年7月</w:t>
      </w:r>
      <w:r w:rsidRPr="005453FB">
        <w:rPr>
          <w:rFonts w:ascii="BIZ UDPゴシック" w:eastAsia="BIZ UDPゴシック" w:hAnsi="BIZ UDPゴシック" w:cs="Calibri" w:hint="eastAsia"/>
          <w:b/>
          <w:bCs/>
        </w:rPr>
        <w:t>2</w:t>
      </w:r>
      <w:r w:rsidRPr="005453FB">
        <w:rPr>
          <w:rFonts w:ascii="BIZ UDPゴシック" w:eastAsia="BIZ UDPゴシック" w:hAnsi="BIZ UDPゴシック" w:cs="Calibri"/>
          <w:b/>
          <w:bCs/>
        </w:rPr>
        <w:t>日</w:t>
      </w:r>
      <w:r w:rsidRPr="005453FB">
        <w:rPr>
          <w:rFonts w:ascii="BIZ UDPゴシック" w:eastAsia="BIZ UDPゴシック" w:hAnsi="BIZ UDPゴシック" w:cs="Calibri" w:hint="eastAsia"/>
          <w:b/>
          <w:bCs/>
        </w:rPr>
        <w:t>10</w:t>
      </w:r>
      <w:r w:rsidRPr="005453FB">
        <w:rPr>
          <w:rFonts w:ascii="BIZ UDPゴシック" w:eastAsia="BIZ UDPゴシック" w:hAnsi="BIZ UDPゴシック" w:cs="Calibri"/>
          <w:b/>
          <w:bCs/>
        </w:rPr>
        <w:t>時</w:t>
      </w:r>
      <w:r w:rsidR="00B33900" w:rsidRPr="005453FB">
        <w:rPr>
          <w:rFonts w:ascii="BIZ UDPゴシック" w:eastAsia="BIZ UDPゴシック" w:hAnsi="BIZ UDPゴシック" w:cs="Calibri" w:hint="eastAsia"/>
          <w:b/>
          <w:bCs/>
        </w:rPr>
        <w:t>に</w:t>
      </w:r>
      <w:r w:rsidRPr="005453FB">
        <w:rPr>
          <w:rFonts w:ascii="BIZ UDPゴシック" w:eastAsia="BIZ UDPゴシック" w:hAnsi="BIZ UDPゴシック" w:cs="Calibri" w:hint="eastAsia"/>
          <w:b/>
          <w:bCs/>
        </w:rPr>
        <w:t>OSE日中取引</w:t>
      </w:r>
      <w:r w:rsidRPr="005453FB">
        <w:rPr>
          <w:rFonts w:ascii="BIZ UDPゴシック" w:eastAsia="BIZ UDPゴシック" w:hAnsi="BIZ UDPゴシック" w:cs="Calibri"/>
          <w:b/>
          <w:bCs/>
        </w:rPr>
        <w:t>に</w:t>
      </w:r>
      <w:r w:rsidRPr="005453FB">
        <w:rPr>
          <w:rFonts w:ascii="BIZ UDPゴシック" w:eastAsia="BIZ UDPゴシック" w:hAnsi="BIZ UDPゴシック" w:cs="Calibri" w:hint="eastAsia"/>
          <w:b/>
          <w:bCs/>
        </w:rPr>
        <w:t>て</w:t>
      </w:r>
      <w:r w:rsidRPr="005453FB">
        <w:rPr>
          <w:rFonts w:ascii="BIZ UDPゴシック" w:eastAsia="BIZ UDPゴシック" w:hAnsi="BIZ UDPゴシック" w:cs="Calibri"/>
          <w:b/>
          <w:bCs/>
        </w:rPr>
        <w:t>購入した建玉は約定日が異なるため、合算して平均単価を作成することはできない。これを、グローバル</w:t>
      </w:r>
      <w:r w:rsidRPr="005453FB">
        <w:rPr>
          <w:rFonts w:ascii="BIZ UDPゴシック" w:eastAsia="BIZ UDPゴシック" w:hAnsi="BIZ UDPゴシック" w:cs="Calibri" w:hint="eastAsia"/>
          <w:b/>
          <w:bCs/>
        </w:rPr>
        <w:t>標準</w:t>
      </w:r>
      <w:r w:rsidRPr="005453FB">
        <w:rPr>
          <w:rFonts w:ascii="BIZ UDPゴシック" w:eastAsia="BIZ UDPゴシック" w:hAnsi="BIZ UDPゴシック" w:cs="Calibri"/>
          <w:b/>
          <w:bCs/>
        </w:rPr>
        <w:t>に合わせるべく、合算して平均単価を作成できるようにすることを指す</w:t>
      </w:r>
      <w:r w:rsidR="006B1280" w:rsidRPr="005453FB">
        <w:rPr>
          <w:rFonts w:ascii="BIZ UDPゴシック" w:eastAsia="BIZ UDPゴシック" w:hAnsi="BIZ UDPゴシック" w:cs="Calibri"/>
          <w:b/>
          <w:bCs/>
        </w:rPr>
        <w:t>）</w:t>
      </w:r>
    </w:p>
    <w:p w14:paraId="3F66FAFC" w14:textId="72ECB32A" w:rsidR="00032A88" w:rsidRPr="005453FB" w:rsidRDefault="00032A88"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賛成</w:t>
      </w:r>
    </w:p>
    <w:p w14:paraId="6CB771C8" w14:textId="16776071" w:rsidR="00032A88" w:rsidRPr="005453FB" w:rsidRDefault="00032A88" w:rsidP="00D060FC">
      <w:pPr>
        <w:widowControl/>
        <w:numPr>
          <w:ilvl w:val="0"/>
          <w:numId w:val="10"/>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反対</w:t>
      </w:r>
    </w:p>
    <w:p w14:paraId="55DDDAA6" w14:textId="3DA82513" w:rsidR="002220A3" w:rsidRPr="005453FB" w:rsidRDefault="002220A3" w:rsidP="002220A3">
      <w:pPr>
        <w:widowControl/>
        <w:spacing w:before="0" w:after="0" w:line="278" w:lineRule="auto"/>
        <w:ind w:left="360"/>
        <w:rPr>
          <w:rFonts w:ascii="BIZ UDPゴシック" w:eastAsia="BIZ UDPゴシック" w:hAnsi="BIZ UDPゴシック" w:cs="Calibri"/>
          <w:b/>
          <w:bCs/>
        </w:rPr>
      </w:pPr>
      <w:r w:rsidRPr="005453FB">
        <w:rPr>
          <w:rFonts w:ascii="BIZ UDPゴシック" w:eastAsia="BIZ UDPゴシック" w:hAnsi="BIZ UDPゴシック" w:cs="Calibri"/>
          <w:b/>
          <w:bCs/>
        </w:rPr>
        <w:t xml:space="preserve">（理由：　　　　　　　　　　　 　　</w:t>
      </w:r>
      <w:r w:rsidRPr="005453FB">
        <w:rPr>
          <w:rFonts w:ascii="BIZ UDPゴシック" w:eastAsia="BIZ UDPゴシック" w:hAnsi="BIZ UDPゴシック" w:cs="Calibri" w:hint="eastAsia"/>
          <w:b/>
          <w:bCs/>
        </w:rPr>
        <w:t xml:space="preserve">　　　　　　</w:t>
      </w:r>
      <w:r w:rsidRPr="005453FB">
        <w:rPr>
          <w:rFonts w:ascii="BIZ UDPゴシック" w:eastAsia="BIZ UDPゴシック" w:hAnsi="BIZ UDPゴシック" w:cs="Calibri"/>
          <w:b/>
          <w:bCs/>
        </w:rPr>
        <w:t xml:space="preserve">　　　　）</w:t>
      </w:r>
    </w:p>
    <w:p w14:paraId="317C1B49" w14:textId="77777777" w:rsidR="00B62916" w:rsidRPr="005453FB" w:rsidRDefault="00B62916" w:rsidP="00D060FC">
      <w:pPr>
        <w:spacing w:before="0" w:after="0"/>
        <w:rPr>
          <w:rFonts w:ascii="BIZ UDPゴシック" w:eastAsia="BIZ UDPゴシック" w:hAnsi="BIZ UDPゴシック" w:cs="Calibri"/>
          <w:b/>
          <w:bCs/>
        </w:rPr>
      </w:pPr>
    </w:p>
    <w:p w14:paraId="2AC1B186" w14:textId="27F91D98"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B62916" w:rsidRPr="005453FB">
        <w:rPr>
          <w:rFonts w:ascii="BIZ UDPゴシック" w:eastAsia="BIZ UDPゴシック" w:hAnsi="BIZ UDPゴシック" w:cs="Calibri"/>
          <w:b/>
          <w:bCs/>
        </w:rPr>
        <w:t>⑦</w:t>
      </w:r>
      <w:r w:rsidRPr="005453FB">
        <w:rPr>
          <w:rFonts w:ascii="BIZ UDPゴシック" w:eastAsia="BIZ UDPゴシック" w:hAnsi="BIZ UDPゴシック" w:cs="Calibri"/>
          <w:b/>
          <w:bCs/>
        </w:rPr>
        <w:t>】</w:t>
      </w:r>
    </w:p>
    <w:p w14:paraId="63C42616" w14:textId="77777777"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当該変更を業界全体として進めるにあたり、FIA Japan において業界団体レベルでのコンセンサス形成が必要だとお考えですか。</w:t>
      </w:r>
    </w:p>
    <w:p w14:paraId="76F613F9" w14:textId="77777777" w:rsidR="003D0880" w:rsidRPr="005453FB" w:rsidRDefault="003D0880" w:rsidP="00D060FC">
      <w:pPr>
        <w:widowControl/>
        <w:numPr>
          <w:ilvl w:val="0"/>
          <w:numId w:val="11"/>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必要 </w:t>
      </w:r>
    </w:p>
    <w:p w14:paraId="59692C92" w14:textId="410C8425" w:rsidR="003D0880" w:rsidRPr="005453FB" w:rsidRDefault="003D0880" w:rsidP="00D060FC">
      <w:pPr>
        <w:widowControl/>
        <w:numPr>
          <w:ilvl w:val="1"/>
          <w:numId w:val="11"/>
        </w:numPr>
        <w:spacing w:before="0" w:after="0" w:line="278" w:lineRule="auto"/>
        <w:rPr>
          <w:rFonts w:ascii="BIZ UDPゴシック" w:eastAsia="BIZ UDPゴシック" w:hAnsi="BIZ UDPゴシック" w:cs="Calibri"/>
          <w:b/>
          <w:bCs/>
        </w:rPr>
      </w:pPr>
      <w:r w:rsidRPr="005453FB">
        <w:rPr>
          <w:rFonts w:ascii="BIZ UDPゴシック" w:eastAsia="BIZ UDPゴシック" w:hAnsi="BIZ UDPゴシック" w:cs="Calibri"/>
          <w:b/>
          <w:bCs/>
        </w:rPr>
        <w:t>差し支えなければ、想定される具体的な業界団体、規則、ガイドラインをご記入ください（例：FIA Japan、JSDA、自主規制規則、業界ガイドライン 等）</w:t>
      </w:r>
    </w:p>
    <w:p w14:paraId="7759C44F" w14:textId="2948B82A" w:rsidR="002220A3" w:rsidRPr="005453FB" w:rsidRDefault="002220A3" w:rsidP="002220A3">
      <w:pPr>
        <w:widowControl/>
        <w:spacing w:before="0" w:after="0" w:line="278" w:lineRule="auto"/>
        <w:ind w:left="1080"/>
        <w:rPr>
          <w:rFonts w:ascii="BIZ UDPゴシック" w:eastAsia="BIZ UDPゴシック" w:hAnsi="BIZ UDPゴシック" w:cs="Calibri"/>
          <w:b/>
          <w:bCs/>
        </w:rPr>
      </w:pPr>
      <w:r w:rsidRPr="005453FB">
        <w:rPr>
          <w:rFonts w:ascii="BIZ UDPゴシック" w:eastAsia="BIZ UDPゴシック" w:hAnsi="BIZ UDPゴシック" w:cs="Calibri" w:hint="eastAsia"/>
          <w:b/>
          <w:bCs/>
        </w:rPr>
        <w:t xml:space="preserve">（　　　　　　　　　　　　　</w:t>
      </w:r>
      <w:r w:rsidR="00C76E70" w:rsidRPr="005453FB">
        <w:rPr>
          <w:rFonts w:ascii="BIZ UDPゴシック" w:eastAsia="BIZ UDPゴシック" w:hAnsi="BIZ UDPゴシック" w:cs="Calibri" w:hint="eastAsia"/>
          <w:b/>
          <w:bCs/>
        </w:rPr>
        <w:t xml:space="preserve">　　　　</w:t>
      </w:r>
      <w:r w:rsidRPr="005453FB">
        <w:rPr>
          <w:rFonts w:ascii="BIZ UDPゴシック" w:eastAsia="BIZ UDPゴシック" w:hAnsi="BIZ UDPゴシック" w:cs="Calibri" w:hint="eastAsia"/>
          <w:b/>
          <w:bCs/>
        </w:rPr>
        <w:t xml:space="preserve">　　　　　　）</w:t>
      </w:r>
    </w:p>
    <w:p w14:paraId="32DFB348" w14:textId="7DFA8A79" w:rsidR="003D0880" w:rsidRPr="005453FB" w:rsidRDefault="003D0880" w:rsidP="00D060FC">
      <w:pPr>
        <w:widowControl/>
        <w:numPr>
          <w:ilvl w:val="0"/>
          <w:numId w:val="11"/>
        </w:numPr>
        <w:spacing w:before="0" w:after="0" w:line="278" w:lineRule="auto"/>
        <w:rPr>
          <w:rFonts w:ascii="BIZ UDPゴシック" w:eastAsia="BIZ UDPゴシック" w:hAnsi="BIZ UDPゴシック" w:cs="Calibri"/>
          <w:b/>
          <w:bCs/>
        </w:rPr>
      </w:pPr>
      <w:r w:rsidRPr="005453FB">
        <w:rPr>
          <w:rFonts w:ascii="Segoe UI Symbol" w:eastAsia="BIZ UDPゴシック" w:hAnsi="Segoe UI Symbol" w:cs="Segoe UI Symbol"/>
          <w:b/>
          <w:bCs/>
        </w:rPr>
        <w:t>☐</w:t>
      </w:r>
      <w:r w:rsidRPr="005453FB">
        <w:rPr>
          <w:rFonts w:ascii="BIZ UDPゴシック" w:eastAsia="BIZ UDPゴシック" w:hAnsi="BIZ UDPゴシック" w:cs="Calibri"/>
          <w:b/>
          <w:bCs/>
        </w:rPr>
        <w:t xml:space="preserve"> 不要</w:t>
      </w:r>
      <w:r w:rsidR="00C76E70" w:rsidRPr="005453FB">
        <w:rPr>
          <w:rFonts w:ascii="BIZ UDPゴシック" w:eastAsia="BIZ UDPゴシック" w:hAnsi="BIZ UDPゴシック" w:cs="Calibri" w:hint="eastAsia"/>
          <w:b/>
          <w:bCs/>
        </w:rPr>
        <w:t xml:space="preserve">　　</w:t>
      </w:r>
    </w:p>
    <w:p w14:paraId="10813923" w14:textId="77777777" w:rsidR="003D0880" w:rsidRPr="005453FB" w:rsidRDefault="003D0880" w:rsidP="00D060FC">
      <w:pPr>
        <w:spacing w:before="0" w:after="0"/>
        <w:rPr>
          <w:rFonts w:ascii="BIZ UDPゴシック" w:eastAsia="BIZ UDPゴシック" w:hAnsi="BIZ UDPゴシック" w:cs="Calibri"/>
          <w:b/>
          <w:bCs/>
        </w:rPr>
      </w:pPr>
    </w:p>
    <w:p w14:paraId="126EDFEC" w14:textId="7E74AFB9"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【質問</w:t>
      </w:r>
      <w:r w:rsidR="00D060FC" w:rsidRPr="005453FB">
        <w:rPr>
          <w:rFonts w:ascii="BIZ UDPゴシック" w:eastAsia="BIZ UDPゴシック" w:hAnsi="BIZ UDPゴシック" w:cs="Calibri" w:hint="eastAsia"/>
          <w:b/>
          <w:bCs/>
        </w:rPr>
        <w:t>⑧</w:t>
      </w:r>
      <w:r w:rsidRPr="005453FB">
        <w:rPr>
          <w:rFonts w:ascii="BIZ UDPゴシック" w:eastAsia="BIZ UDPゴシック" w:hAnsi="BIZ UDPゴシック" w:cs="Calibri"/>
          <w:b/>
          <w:bCs/>
        </w:rPr>
        <w:t>】</w:t>
      </w:r>
    </w:p>
    <w:p w14:paraId="42911AF4" w14:textId="4A6CA45D" w:rsidR="003D0880" w:rsidRPr="005453FB" w:rsidRDefault="003D0880" w:rsidP="00D060FC">
      <w:pPr>
        <w:pStyle w:val="a4"/>
        <w:numPr>
          <w:ilvl w:val="0"/>
          <w:numId w:val="11"/>
        </w:num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その他、FIA Japanへの要望、先物ポストトレード標準化に関するご要望などございましたら、ご意見をお聞かせください。</w:t>
      </w:r>
    </w:p>
    <w:p w14:paraId="13D401F0" w14:textId="329D19D2" w:rsidR="003D0880" w:rsidRPr="005453FB" w:rsidRDefault="003D0880" w:rsidP="00D060FC">
      <w:pPr>
        <w:spacing w:before="0" w:after="0"/>
        <w:rPr>
          <w:rFonts w:ascii="BIZ UDPゴシック" w:eastAsia="BIZ UDPゴシック" w:hAnsi="BIZ UDPゴシック" w:cs="Calibri"/>
          <w:b/>
          <w:bCs/>
        </w:rPr>
      </w:pPr>
      <w:r w:rsidRPr="005453FB">
        <w:rPr>
          <w:rFonts w:ascii="BIZ UDPゴシック" w:eastAsia="BIZ UDPゴシック" w:hAnsi="BIZ UDPゴシック" w:cs="Calibri"/>
          <w:b/>
          <w:bCs/>
        </w:rPr>
        <w:t xml:space="preserve">（　　　　　　　　　　　　　　　　　　　　　　　　　　　　　　　　　　　　　　　　　</w:t>
      </w:r>
      <w:r w:rsidR="00D060FC" w:rsidRPr="005453FB">
        <w:rPr>
          <w:rFonts w:ascii="BIZ UDPゴシック" w:eastAsia="BIZ UDPゴシック" w:hAnsi="BIZ UDPゴシック" w:cs="Calibri" w:hint="eastAsia"/>
          <w:b/>
          <w:bCs/>
        </w:rPr>
        <w:t xml:space="preserve">　）</w:t>
      </w:r>
    </w:p>
    <w:p w14:paraId="38FCD8EA" w14:textId="264A1A11" w:rsidR="003D0880" w:rsidRPr="005453FB" w:rsidRDefault="003D0880" w:rsidP="00D060FC">
      <w:pPr>
        <w:widowControl/>
        <w:spacing w:before="0" w:after="0"/>
        <w:rPr>
          <w:rFonts w:ascii="BIZ UDPゴシック" w:eastAsia="BIZ UDPゴシック" w:hAnsi="BIZ UDPゴシック" w:cs="Calibri"/>
          <w:sz w:val="44"/>
          <w:szCs w:val="44"/>
        </w:rPr>
      </w:pPr>
    </w:p>
    <w:p w14:paraId="54BB3D5D" w14:textId="4268618D" w:rsidR="000669EA" w:rsidRPr="005453FB" w:rsidRDefault="00D060FC" w:rsidP="008E6134">
      <w:pPr>
        <w:widowControl/>
        <w:rPr>
          <w:rFonts w:ascii="BIZ UDPゴシック" w:eastAsia="BIZ UDPゴシック" w:hAnsi="BIZ UDPゴシック" w:cs="Calibri"/>
          <w:color w:val="0E2841"/>
          <w:sz w:val="36"/>
          <w:szCs w:val="36"/>
        </w:rPr>
      </w:pPr>
      <w:r w:rsidRPr="005453FB">
        <w:rPr>
          <w:rFonts w:ascii="BIZ UDPゴシック" w:eastAsia="BIZ UDPゴシック" w:hAnsi="BIZ UDPゴシック" w:cs="Calibri"/>
          <w:sz w:val="36"/>
          <w:szCs w:val="36"/>
        </w:rPr>
        <w:br w:type="page"/>
      </w:r>
      <w:r w:rsidR="00F54783" w:rsidRPr="005453FB">
        <w:rPr>
          <w:rFonts w:ascii="BIZ UDPゴシック" w:eastAsia="BIZ UDPゴシック" w:hAnsi="BIZ UDPゴシック" w:cs="Calibri"/>
          <w:sz w:val="36"/>
          <w:szCs w:val="36"/>
        </w:rPr>
        <w:lastRenderedPageBreak/>
        <w:t>Appendix：標準化の背景・根拠資料</w:t>
      </w:r>
      <w:bookmarkEnd w:id="8"/>
    </w:p>
    <w:p w14:paraId="2E2E0715" w14:textId="77777777" w:rsidR="000669EA" w:rsidRPr="005453FB" w:rsidRDefault="00F54783" w:rsidP="00D060FC">
      <w:pPr>
        <w:pStyle w:val="1"/>
        <w:spacing w:before="0"/>
        <w:contextualSpacing/>
        <w:rPr>
          <w:rFonts w:ascii="BIZ UDPゴシック" w:eastAsia="BIZ UDPゴシック" w:hAnsi="BIZ UDPゴシック" w:cs="Calibri"/>
          <w:sz w:val="28"/>
          <w:szCs w:val="28"/>
        </w:rPr>
      </w:pPr>
      <w:bookmarkStart w:id="10" w:name="a-1-現状の問題点：なぜ標準化が必要か"/>
      <w:r w:rsidRPr="005453FB">
        <w:rPr>
          <w:rFonts w:ascii="BIZ UDPゴシック" w:eastAsia="BIZ UDPゴシック" w:hAnsi="BIZ UDPゴシック" w:cs="Calibri"/>
          <w:sz w:val="28"/>
          <w:szCs w:val="28"/>
        </w:rPr>
        <w:t>A-1. 現状の問題点：なぜ標準化が必要か</w:t>
      </w:r>
      <w:bookmarkEnd w:id="10"/>
    </w:p>
    <w:p w14:paraId="36D2727E"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1" w:name="a-1-1-平均単価計算の不統一と「1円の攻防」"/>
      <w:r w:rsidRPr="005453FB">
        <w:rPr>
          <w:rFonts w:ascii="BIZ UDPゴシック" w:eastAsia="BIZ UDPゴシック" w:hAnsi="BIZ UDPゴシック" w:cs="Calibri"/>
          <w:sz w:val="24"/>
          <w:szCs w:val="24"/>
        </w:rPr>
        <w:t>A-1-1. 平均単価計算の不統一と「1円の攻防」</w:t>
      </w:r>
      <w:bookmarkEnd w:id="11"/>
    </w:p>
    <w:p w14:paraId="427F18A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国内先物取引では、複数の約定を一つの平均単価で処理する際、最終的な「約定金額」の算出計算ロジックが業界内で統一されていません。主に以下の2方式が混在しています。</w:t>
      </w:r>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575"/>
        <w:gridCol w:w="4813"/>
        <w:gridCol w:w="3636"/>
      </w:tblGrid>
      <w:tr w:rsidR="000669EA" w:rsidRPr="005453FB" w14:paraId="51B2A409" w14:textId="77777777">
        <w:trPr>
          <w:tblHeader/>
        </w:trPr>
        <w:tc>
          <w:tcPr>
            <w:tcW w:w="500" w:type="auto"/>
            <w:shd w:val="solid" w:color="auto" w:fill="B79C2F"/>
            <w:tcMar>
              <w:left w:w="60" w:type="dxa"/>
              <w:right w:w="60" w:type="dxa"/>
            </w:tcMar>
            <w:vAlign w:val="center"/>
          </w:tcPr>
          <w:p w14:paraId="20E18015"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方式</w:t>
            </w:r>
          </w:p>
        </w:tc>
        <w:tc>
          <w:tcPr>
            <w:tcW w:w="500" w:type="auto"/>
            <w:shd w:val="solid" w:color="auto" w:fill="B79C2F"/>
            <w:tcMar>
              <w:left w:w="60" w:type="dxa"/>
              <w:right w:w="60" w:type="dxa"/>
            </w:tcMar>
            <w:vAlign w:val="center"/>
          </w:tcPr>
          <w:p w14:paraId="05FB6F10"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概要</w:t>
            </w:r>
          </w:p>
        </w:tc>
        <w:tc>
          <w:tcPr>
            <w:tcW w:w="500" w:type="auto"/>
            <w:shd w:val="solid" w:color="auto" w:fill="B79C2F"/>
            <w:tcMar>
              <w:left w:w="60" w:type="dxa"/>
              <w:right w:w="60" w:type="dxa"/>
            </w:tcMar>
            <w:vAlign w:val="center"/>
          </w:tcPr>
          <w:p w14:paraId="19E06C97"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主な採用者</w:t>
            </w:r>
          </w:p>
        </w:tc>
      </w:tr>
      <w:tr w:rsidR="000669EA" w:rsidRPr="005453FB" w14:paraId="278B9937" w14:textId="77777777">
        <w:tc>
          <w:tcPr>
            <w:tcW w:w="500" w:type="auto"/>
            <w:tcMar>
              <w:left w:w="60" w:type="dxa"/>
              <w:right w:w="60" w:type="dxa"/>
            </w:tcMar>
            <w:vAlign w:val="center"/>
          </w:tcPr>
          <w:p w14:paraId="4D4BDC8A"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金額方式</w:t>
            </w:r>
          </w:p>
        </w:tc>
        <w:tc>
          <w:tcPr>
            <w:tcW w:w="500" w:type="auto"/>
            <w:tcMar>
              <w:left w:w="60" w:type="dxa"/>
              <w:right w:w="60" w:type="dxa"/>
            </w:tcMar>
            <w:vAlign w:val="center"/>
          </w:tcPr>
          <w:p w14:paraId="725869DB"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取引当初に約定金額総額を確定し、最後の決済で端数調整を行う方式。合計損益が必ず一致する</w:t>
            </w:r>
          </w:p>
        </w:tc>
        <w:tc>
          <w:tcPr>
            <w:tcW w:w="500" w:type="auto"/>
            <w:tcMar>
              <w:left w:w="60" w:type="dxa"/>
              <w:right w:w="60" w:type="dxa"/>
            </w:tcMar>
            <w:vAlign w:val="center"/>
          </w:tcPr>
          <w:p w14:paraId="44E1DA97" w14:textId="029F2ACF" w:rsidR="000669EA" w:rsidRPr="005453FB" w:rsidRDefault="00EA1DCD"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国内独特方式として</w:t>
            </w:r>
            <w:r w:rsidR="00F54783" w:rsidRPr="005453FB">
              <w:rPr>
                <w:rFonts w:ascii="BIZ UDPゴシック" w:eastAsia="BIZ UDPゴシック" w:hAnsi="BIZ UDPゴシック" w:cs="Calibri"/>
                <w:sz w:val="18"/>
                <w:szCs w:val="18"/>
              </w:rPr>
              <w:t>国内運用会社・証券会社（JSCCの計算方法と整合しやすい）</w:t>
            </w:r>
          </w:p>
        </w:tc>
      </w:tr>
      <w:tr w:rsidR="000669EA" w:rsidRPr="005453FB" w14:paraId="7FBD2E13" w14:textId="77777777">
        <w:tc>
          <w:tcPr>
            <w:tcW w:w="500" w:type="auto"/>
            <w:tcMar>
              <w:left w:w="60" w:type="dxa"/>
              <w:right w:w="60" w:type="dxa"/>
            </w:tcMar>
            <w:vAlign w:val="center"/>
          </w:tcPr>
          <w:p w14:paraId="31819BF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単価方式</w:t>
            </w:r>
          </w:p>
        </w:tc>
        <w:tc>
          <w:tcPr>
            <w:tcW w:w="500" w:type="auto"/>
            <w:tcMar>
              <w:left w:w="60" w:type="dxa"/>
              <w:right w:w="60" w:type="dxa"/>
            </w:tcMar>
            <w:vAlign w:val="center"/>
          </w:tcPr>
          <w:p w14:paraId="5449030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決済の都度、平均単価で約定金額を算出する方式。複数回の端数処理により最終合計損益が数円ずれることがある</w:t>
            </w:r>
          </w:p>
        </w:tc>
        <w:tc>
          <w:tcPr>
            <w:tcW w:w="500" w:type="auto"/>
            <w:tcMar>
              <w:left w:w="60" w:type="dxa"/>
              <w:right w:w="60" w:type="dxa"/>
            </w:tcMar>
            <w:vAlign w:val="center"/>
          </w:tcPr>
          <w:p w14:paraId="1007365C"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グローバルスタンダード。ベンダー各社のシステムに多く採用</w:t>
            </w:r>
          </w:p>
        </w:tc>
      </w:tr>
    </w:tbl>
    <w:p w14:paraId="179D9A1F" w14:textId="597F0B12"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この計算ロジックの不統一が、証券会社・信託銀行・運用会社の間で日常的に「1円」単位の照合差異を生じさせ、その解消のために</w:t>
      </w:r>
      <w:r w:rsidR="00FC137A" w:rsidRPr="005453FB">
        <w:rPr>
          <w:rFonts w:ascii="BIZ UDPゴシック" w:eastAsia="BIZ UDPゴシック" w:hAnsi="BIZ UDPゴシック" w:cs="Calibri"/>
          <w:sz w:val="18"/>
          <w:szCs w:val="18"/>
        </w:rPr>
        <w:t>オペレーション上の課題</w:t>
      </w:r>
      <w:r w:rsidRPr="005453FB">
        <w:rPr>
          <w:rFonts w:ascii="BIZ UDPゴシック" w:eastAsia="BIZ UDPゴシック" w:hAnsi="BIZ UDPゴシック" w:cs="Calibri"/>
          <w:sz w:val="18"/>
          <w:szCs w:val="18"/>
        </w:rPr>
        <w:t>が発生しています。</w:t>
      </w:r>
      <w:r w:rsidR="00FC137A" w:rsidRPr="005453FB">
        <w:rPr>
          <w:rFonts w:ascii="BIZ UDPゴシック" w:eastAsia="BIZ UDPゴシック" w:hAnsi="BIZ UDPゴシック" w:cs="Calibri"/>
          <w:sz w:val="18"/>
          <w:szCs w:val="18"/>
        </w:rPr>
        <w:br/>
      </w:r>
    </w:p>
    <w:p w14:paraId="142E5D9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委員会の方針（第9回・第11回会合にて合意）：</w:t>
      </w:r>
    </w:p>
    <w:p w14:paraId="51CA65BE" w14:textId="77777777" w:rsidR="000669EA" w:rsidRPr="005453FB" w:rsidRDefault="00F54783" w:rsidP="00D060FC">
      <w:pPr>
        <w:pStyle w:val="a4"/>
        <w:numPr>
          <w:ilvl w:val="0"/>
          <w:numId w:val="5"/>
        </w:numPr>
        <w:spacing w:before="0" w:after="0"/>
        <w:ind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評価損益：</w:t>
      </w:r>
      <w:r w:rsidRPr="005453FB">
        <w:rPr>
          <w:rFonts w:ascii="BIZ UDPゴシック" w:eastAsia="BIZ UDPゴシック" w:hAnsi="BIZ UDPゴシック" w:cs="Calibri"/>
          <w:sz w:val="18"/>
          <w:szCs w:val="18"/>
        </w:rPr>
        <w:t xml:space="preserve"> 「単価方式」を推奨方式として決定済み</w:t>
      </w:r>
    </w:p>
    <w:p w14:paraId="5CAE00B7" w14:textId="77777777" w:rsidR="000669EA" w:rsidRPr="005453FB" w:rsidRDefault="00F54783" w:rsidP="00D060FC">
      <w:pPr>
        <w:pStyle w:val="a4"/>
        <w:numPr>
          <w:ilvl w:val="0"/>
          <w:numId w:val="5"/>
        </w:numPr>
        <w:spacing w:before="0" w:after="0"/>
        <w:ind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実現損益：</w:t>
      </w:r>
      <w:r w:rsidRPr="005453FB">
        <w:rPr>
          <w:rFonts w:ascii="BIZ UDPゴシック" w:eastAsia="BIZ UDPゴシック" w:hAnsi="BIZ UDPゴシック" w:cs="Calibri"/>
          <w:sz w:val="18"/>
          <w:szCs w:val="18"/>
        </w:rPr>
        <w:t xml:space="preserve"> 「単価方式」を推奨方式とする方向で調整中（最終確認中）</w:t>
      </w:r>
    </w:p>
    <w:p w14:paraId="1A5E4C64" w14:textId="4E15EA94" w:rsidR="000669EA" w:rsidRPr="005453FB" w:rsidRDefault="00F54783" w:rsidP="00D060FC">
      <w:pPr>
        <w:pStyle w:val="a4"/>
        <w:numPr>
          <w:ilvl w:val="0"/>
          <w:numId w:val="5"/>
        </w:numPr>
        <w:spacing w:before="0" w:after="0"/>
        <w:ind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中長期目標：</w:t>
      </w:r>
      <w:r w:rsidRPr="005453FB">
        <w:rPr>
          <w:rFonts w:ascii="BIZ UDPゴシック" w:eastAsia="BIZ UDPゴシック" w:hAnsi="BIZ UDPゴシック" w:cs="Calibri"/>
          <w:sz w:val="18"/>
          <w:szCs w:val="18"/>
        </w:rPr>
        <w:t xml:space="preserve"> グローバル標準である単価方式への一本化</w:t>
      </w:r>
    </w:p>
    <w:p w14:paraId="2EA55EFD"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主要ベンダーの現状対応状況：</w:t>
      </w:r>
    </w:p>
    <w:tbl>
      <w:tblPr>
        <w:tblW w:w="5035"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1271"/>
        <w:gridCol w:w="564"/>
        <w:gridCol w:w="3626"/>
        <w:gridCol w:w="3626"/>
      </w:tblGrid>
      <w:tr w:rsidR="000669EA" w:rsidRPr="005453FB" w14:paraId="2A5552C4" w14:textId="77777777" w:rsidTr="00EA1DCD">
        <w:trPr>
          <w:trHeight w:val="308"/>
          <w:tblHeader/>
        </w:trPr>
        <w:tc>
          <w:tcPr>
            <w:tcW w:w="0" w:type="auto"/>
            <w:shd w:val="solid" w:color="auto" w:fill="B79C2F"/>
            <w:tcMar>
              <w:left w:w="60" w:type="dxa"/>
              <w:right w:w="60" w:type="dxa"/>
            </w:tcMar>
            <w:vAlign w:val="center"/>
          </w:tcPr>
          <w:p w14:paraId="1939CE67"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システム</w:t>
            </w:r>
          </w:p>
        </w:tc>
        <w:tc>
          <w:tcPr>
            <w:tcW w:w="0" w:type="auto"/>
            <w:shd w:val="solid" w:color="auto" w:fill="B79C2F"/>
            <w:tcMar>
              <w:left w:w="60" w:type="dxa"/>
              <w:right w:w="60" w:type="dxa"/>
            </w:tcMar>
            <w:vAlign w:val="center"/>
          </w:tcPr>
          <w:p w14:paraId="59B00BA0"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運営</w:t>
            </w:r>
          </w:p>
        </w:tc>
        <w:tc>
          <w:tcPr>
            <w:tcW w:w="0" w:type="auto"/>
            <w:shd w:val="solid" w:color="auto" w:fill="B79C2F"/>
            <w:tcMar>
              <w:left w:w="60" w:type="dxa"/>
              <w:right w:w="60" w:type="dxa"/>
            </w:tcMar>
            <w:vAlign w:val="center"/>
          </w:tcPr>
          <w:p w14:paraId="51BADA88"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評価損益</w:t>
            </w:r>
          </w:p>
        </w:tc>
        <w:tc>
          <w:tcPr>
            <w:tcW w:w="0" w:type="auto"/>
            <w:shd w:val="solid" w:color="auto" w:fill="B79C2F"/>
            <w:tcMar>
              <w:left w:w="60" w:type="dxa"/>
              <w:right w:w="60" w:type="dxa"/>
            </w:tcMar>
            <w:vAlign w:val="center"/>
          </w:tcPr>
          <w:p w14:paraId="085E7258"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実現損益</w:t>
            </w:r>
          </w:p>
        </w:tc>
      </w:tr>
      <w:tr w:rsidR="000669EA" w:rsidRPr="005453FB" w14:paraId="5D0CEDE6" w14:textId="77777777" w:rsidTr="00EA1DCD">
        <w:trPr>
          <w:trHeight w:val="210"/>
        </w:trPr>
        <w:tc>
          <w:tcPr>
            <w:tcW w:w="0" w:type="auto"/>
            <w:tcMar>
              <w:left w:w="60" w:type="dxa"/>
              <w:right w:w="60" w:type="dxa"/>
            </w:tcMar>
            <w:vAlign w:val="center"/>
          </w:tcPr>
          <w:p w14:paraId="2654F6E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T-STAR</w:t>
            </w:r>
          </w:p>
        </w:tc>
        <w:tc>
          <w:tcPr>
            <w:tcW w:w="0" w:type="auto"/>
            <w:tcMar>
              <w:left w:w="60" w:type="dxa"/>
              <w:right w:w="60" w:type="dxa"/>
            </w:tcMar>
            <w:vAlign w:val="center"/>
          </w:tcPr>
          <w:p w14:paraId="2490E39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NRI</w:t>
            </w:r>
          </w:p>
        </w:tc>
        <w:tc>
          <w:tcPr>
            <w:tcW w:w="0" w:type="auto"/>
            <w:tcMar>
              <w:left w:w="60" w:type="dxa"/>
              <w:right w:w="60" w:type="dxa"/>
            </w:tcMar>
            <w:vAlign w:val="center"/>
          </w:tcPr>
          <w:p w14:paraId="65790D39" w14:textId="0FFF197D"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w:t>
            </w:r>
          </w:p>
        </w:tc>
        <w:tc>
          <w:tcPr>
            <w:tcW w:w="0" w:type="auto"/>
            <w:tcMar>
              <w:left w:w="60" w:type="dxa"/>
              <w:right w:w="60" w:type="dxa"/>
            </w:tcMar>
            <w:vAlign w:val="center"/>
          </w:tcPr>
          <w:p w14:paraId="6FFD21F7"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w:t>
            </w:r>
          </w:p>
        </w:tc>
      </w:tr>
      <w:tr w:rsidR="00F048A5" w:rsidRPr="005453FB" w14:paraId="11B4AB59" w14:textId="77777777" w:rsidTr="00EA1DCD">
        <w:trPr>
          <w:trHeight w:val="308"/>
        </w:trPr>
        <w:tc>
          <w:tcPr>
            <w:tcW w:w="0" w:type="auto"/>
            <w:tcMar>
              <w:left w:w="60" w:type="dxa"/>
              <w:right w:w="60" w:type="dxa"/>
            </w:tcMar>
            <w:vAlign w:val="center"/>
          </w:tcPr>
          <w:p w14:paraId="540F836B" w14:textId="77777777" w:rsidR="00F048A5" w:rsidRPr="005453FB" w:rsidRDefault="00F048A5" w:rsidP="00F048A5">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I-STAR</w:t>
            </w:r>
          </w:p>
        </w:tc>
        <w:tc>
          <w:tcPr>
            <w:tcW w:w="0" w:type="auto"/>
            <w:tcMar>
              <w:left w:w="60" w:type="dxa"/>
              <w:right w:w="60" w:type="dxa"/>
            </w:tcMar>
            <w:vAlign w:val="center"/>
          </w:tcPr>
          <w:p w14:paraId="72318B2A" w14:textId="77777777" w:rsidR="00F048A5" w:rsidRPr="005453FB" w:rsidRDefault="00F048A5" w:rsidP="00F048A5">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NRI</w:t>
            </w:r>
          </w:p>
        </w:tc>
        <w:tc>
          <w:tcPr>
            <w:tcW w:w="0" w:type="auto"/>
            <w:tcMar>
              <w:left w:w="60" w:type="dxa"/>
              <w:right w:w="60" w:type="dxa"/>
            </w:tcMar>
            <w:vAlign w:val="center"/>
          </w:tcPr>
          <w:p w14:paraId="71B4CEA7" w14:textId="469FF09C" w:rsidR="00F048A5" w:rsidRPr="005453FB" w:rsidRDefault="00F048A5" w:rsidP="00F048A5">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単価方式(選択可能)・金額方式（標準</w:t>
            </w:r>
            <w:r w:rsidRPr="005453FB">
              <w:rPr>
                <w:rFonts w:ascii="BIZ UDPゴシック" w:eastAsia="BIZ UDPゴシック" w:hAnsi="BIZ UDPゴシック" w:cs="Calibri" w:hint="eastAsia"/>
                <w:sz w:val="18"/>
                <w:szCs w:val="18"/>
              </w:rPr>
              <w:t>）</w:t>
            </w:r>
          </w:p>
        </w:tc>
        <w:tc>
          <w:tcPr>
            <w:tcW w:w="0" w:type="auto"/>
            <w:tcMar>
              <w:left w:w="60" w:type="dxa"/>
              <w:right w:w="60" w:type="dxa"/>
            </w:tcMar>
            <w:vAlign w:val="center"/>
          </w:tcPr>
          <w:p w14:paraId="4068DB5F" w14:textId="10BB25EB" w:rsidR="00F048A5" w:rsidRPr="005453FB" w:rsidRDefault="00F048A5" w:rsidP="00F048A5">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単価方式(選択可能)・金額方式（標準</w:t>
            </w:r>
            <w:r w:rsidRPr="005453FB">
              <w:rPr>
                <w:rFonts w:ascii="BIZ UDPゴシック" w:eastAsia="BIZ UDPゴシック" w:hAnsi="BIZ UDPゴシック" w:cs="Calibri" w:hint="eastAsia"/>
                <w:sz w:val="18"/>
                <w:szCs w:val="18"/>
              </w:rPr>
              <w:t>）</w:t>
            </w:r>
          </w:p>
        </w:tc>
      </w:tr>
      <w:tr w:rsidR="000669EA" w:rsidRPr="005453FB" w14:paraId="482809D7" w14:textId="77777777" w:rsidTr="00EA1DCD">
        <w:trPr>
          <w:trHeight w:val="308"/>
        </w:trPr>
        <w:tc>
          <w:tcPr>
            <w:tcW w:w="0" w:type="auto"/>
            <w:tcMar>
              <w:left w:w="60" w:type="dxa"/>
              <w:right w:w="60" w:type="dxa"/>
            </w:tcMar>
            <w:vAlign w:val="center"/>
          </w:tcPr>
          <w:p w14:paraId="5B1E3505" w14:textId="27E303F5" w:rsidR="000669EA" w:rsidRPr="005453FB" w:rsidRDefault="0019439C"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GMI</w:t>
            </w:r>
          </w:p>
        </w:tc>
        <w:tc>
          <w:tcPr>
            <w:tcW w:w="0" w:type="auto"/>
            <w:tcMar>
              <w:left w:w="60" w:type="dxa"/>
              <w:right w:w="60" w:type="dxa"/>
            </w:tcMar>
            <w:vAlign w:val="center"/>
          </w:tcPr>
          <w:p w14:paraId="30E4E9CB"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FIS</w:t>
            </w:r>
          </w:p>
        </w:tc>
        <w:tc>
          <w:tcPr>
            <w:tcW w:w="0" w:type="auto"/>
            <w:tcMar>
              <w:left w:w="60" w:type="dxa"/>
              <w:right w:w="60" w:type="dxa"/>
            </w:tcMar>
            <w:vAlign w:val="center"/>
          </w:tcPr>
          <w:p w14:paraId="58E9D69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w:t>
            </w:r>
          </w:p>
        </w:tc>
        <w:tc>
          <w:tcPr>
            <w:tcW w:w="0" w:type="auto"/>
            <w:tcMar>
              <w:left w:w="60" w:type="dxa"/>
              <w:right w:w="60" w:type="dxa"/>
            </w:tcMar>
            <w:vAlign w:val="center"/>
          </w:tcPr>
          <w:p w14:paraId="1DD9D0B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w:t>
            </w:r>
          </w:p>
        </w:tc>
      </w:tr>
      <w:tr w:rsidR="000669EA" w:rsidRPr="005453FB" w14:paraId="5C2B5B64" w14:textId="77777777" w:rsidTr="00EA1DCD">
        <w:trPr>
          <w:trHeight w:val="298"/>
        </w:trPr>
        <w:tc>
          <w:tcPr>
            <w:tcW w:w="0" w:type="auto"/>
            <w:tcMar>
              <w:left w:w="60" w:type="dxa"/>
              <w:right w:w="60" w:type="dxa"/>
            </w:tcMar>
            <w:vAlign w:val="center"/>
          </w:tcPr>
          <w:p w14:paraId="430E5A64" w14:textId="1F5D48B8" w:rsidR="00753DC7" w:rsidRPr="005453FB" w:rsidRDefault="00753DC7"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hint="eastAsia"/>
                <w:sz w:val="18"/>
                <w:szCs w:val="18"/>
              </w:rPr>
              <w:t>ベンダ-A社</w:t>
            </w:r>
          </w:p>
        </w:tc>
        <w:tc>
          <w:tcPr>
            <w:tcW w:w="0" w:type="auto"/>
            <w:tcMar>
              <w:left w:w="60" w:type="dxa"/>
              <w:right w:w="60" w:type="dxa"/>
            </w:tcMar>
            <w:vAlign w:val="center"/>
          </w:tcPr>
          <w:p w14:paraId="18AE8DA4" w14:textId="72866A24" w:rsidR="000669EA" w:rsidRPr="005453FB" w:rsidRDefault="000669EA" w:rsidP="00D060FC">
            <w:pPr>
              <w:spacing w:before="0" w:after="0"/>
              <w:contextualSpacing/>
              <w:rPr>
                <w:rFonts w:ascii="BIZ UDPゴシック" w:eastAsia="BIZ UDPゴシック" w:hAnsi="BIZ UDPゴシック" w:cs="Calibri"/>
                <w:sz w:val="18"/>
                <w:szCs w:val="18"/>
              </w:rPr>
            </w:pPr>
          </w:p>
        </w:tc>
        <w:tc>
          <w:tcPr>
            <w:tcW w:w="0" w:type="auto"/>
            <w:tcMar>
              <w:left w:w="60" w:type="dxa"/>
              <w:right w:w="60" w:type="dxa"/>
            </w:tcMar>
            <w:vAlign w:val="center"/>
          </w:tcPr>
          <w:p w14:paraId="7B7C81D9"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単価方式（標準）・金額方式（選択可）</w:t>
            </w:r>
          </w:p>
        </w:tc>
        <w:tc>
          <w:tcPr>
            <w:tcW w:w="0" w:type="auto"/>
            <w:tcMar>
              <w:left w:w="60" w:type="dxa"/>
              <w:right w:w="60" w:type="dxa"/>
            </w:tcMar>
            <w:vAlign w:val="center"/>
          </w:tcPr>
          <w:p w14:paraId="728E67A7"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単価方式（標準）</w:t>
            </w:r>
          </w:p>
        </w:tc>
      </w:tr>
      <w:tr w:rsidR="000669EA" w:rsidRPr="005453FB" w14:paraId="4C9093E4" w14:textId="77777777" w:rsidTr="00EA1DCD">
        <w:trPr>
          <w:trHeight w:val="319"/>
        </w:trPr>
        <w:tc>
          <w:tcPr>
            <w:tcW w:w="0" w:type="auto"/>
            <w:tcMar>
              <w:left w:w="60" w:type="dxa"/>
              <w:right w:w="60" w:type="dxa"/>
            </w:tcMar>
            <w:vAlign w:val="center"/>
          </w:tcPr>
          <w:p w14:paraId="065DF08F" w14:textId="41FF3B9A" w:rsidR="000669EA" w:rsidRPr="005453FB" w:rsidRDefault="00753DC7"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hint="eastAsia"/>
                <w:sz w:val="18"/>
                <w:szCs w:val="18"/>
              </w:rPr>
              <w:t>ベンダ-B社</w:t>
            </w:r>
          </w:p>
        </w:tc>
        <w:tc>
          <w:tcPr>
            <w:tcW w:w="0" w:type="auto"/>
            <w:tcMar>
              <w:left w:w="60" w:type="dxa"/>
              <w:right w:w="60" w:type="dxa"/>
            </w:tcMar>
            <w:vAlign w:val="center"/>
          </w:tcPr>
          <w:p w14:paraId="5CE260A2" w14:textId="64F72ACC" w:rsidR="000669EA" w:rsidRPr="005453FB" w:rsidRDefault="000669EA" w:rsidP="00D060FC">
            <w:pPr>
              <w:spacing w:before="0" w:after="0"/>
              <w:contextualSpacing/>
              <w:rPr>
                <w:rFonts w:ascii="BIZ UDPゴシック" w:eastAsia="BIZ UDPゴシック" w:hAnsi="BIZ UDPゴシック" w:cs="Calibri"/>
                <w:sz w:val="18"/>
                <w:szCs w:val="18"/>
              </w:rPr>
            </w:pPr>
          </w:p>
        </w:tc>
        <w:tc>
          <w:tcPr>
            <w:tcW w:w="0" w:type="auto"/>
            <w:tcMar>
              <w:left w:w="60" w:type="dxa"/>
              <w:right w:w="60" w:type="dxa"/>
            </w:tcMar>
            <w:vAlign w:val="center"/>
          </w:tcPr>
          <w:p w14:paraId="73A21A03"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金額方式</w:t>
            </w:r>
          </w:p>
        </w:tc>
        <w:tc>
          <w:tcPr>
            <w:tcW w:w="0" w:type="auto"/>
            <w:tcMar>
              <w:left w:w="60" w:type="dxa"/>
              <w:right w:w="60" w:type="dxa"/>
            </w:tcMar>
            <w:vAlign w:val="center"/>
          </w:tcPr>
          <w:p w14:paraId="2CCCEC43"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金額方式</w:t>
            </w:r>
          </w:p>
        </w:tc>
      </w:tr>
    </w:tbl>
    <w:p w14:paraId="61866B97" w14:textId="77777777" w:rsidR="000669EA" w:rsidRPr="005453FB" w:rsidRDefault="000669EA" w:rsidP="00D060FC">
      <w:pPr>
        <w:pBdr>
          <w:top w:val="single" w:sz="6" w:space="0" w:color="auto"/>
        </w:pBdr>
        <w:spacing w:before="0" w:after="0"/>
        <w:contextualSpacing/>
        <w:rPr>
          <w:rFonts w:ascii="BIZ UDPゴシック" w:eastAsia="BIZ UDPゴシック" w:hAnsi="BIZ UDPゴシック" w:cs="Calibri"/>
          <w:sz w:val="18"/>
          <w:szCs w:val="18"/>
        </w:rPr>
      </w:pPr>
    </w:p>
    <w:p w14:paraId="7CDA70EB"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2" w:name="a-1-2-建玉決済ロジックの乱立（ジャパンカスタマイズ）"/>
      <w:r w:rsidRPr="005453FB">
        <w:rPr>
          <w:rFonts w:ascii="BIZ UDPゴシック" w:eastAsia="BIZ UDPゴシック" w:hAnsi="BIZ UDPゴシック" w:cs="Calibri"/>
          <w:sz w:val="24"/>
          <w:szCs w:val="24"/>
        </w:rPr>
        <w:t>A-1-2. 建玉決済ロジックの乱立（ジャパンカスタマイズ）</w:t>
      </w:r>
      <w:bookmarkEnd w:id="12"/>
    </w:p>
    <w:p w14:paraId="632AEB3E"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グローバルでは FIFO（First-In, First-Out）「取引日の古いものから決済する」というシンプルなロジックが標準的です。しかし国内では、「夜間取引を優先する」「同日内は有利な価格から決済する」「顧客指示で決済順序を変える」など、顧客ごとに異なる複雑なカスタムロジックが乱立しています。</w:t>
      </w:r>
    </w:p>
    <w:p w14:paraId="20A32AF0" w14:textId="520CA3D2"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これにより、ブローカー側では顧客ごとに異なるマニュアル対応や複雑なシステム設定が</w:t>
      </w:r>
      <w:r w:rsidR="00FC137A" w:rsidRPr="005453FB">
        <w:rPr>
          <w:rFonts w:ascii="BIZ UDPゴシック" w:eastAsia="BIZ UDPゴシック" w:hAnsi="BIZ UDPゴシック" w:cs="Calibri"/>
          <w:sz w:val="18"/>
          <w:szCs w:val="18"/>
        </w:rPr>
        <w:t>必要となり</w:t>
      </w:r>
      <w:r w:rsidRPr="005453FB">
        <w:rPr>
          <w:rFonts w:ascii="BIZ UDPゴシック" w:eastAsia="BIZ UDPゴシック" w:hAnsi="BIZ UDPゴシック" w:cs="Calibri"/>
          <w:sz w:val="18"/>
          <w:szCs w:val="18"/>
        </w:rPr>
        <w:t>、オペレーション</w:t>
      </w:r>
      <w:r w:rsidRPr="005453FB">
        <w:rPr>
          <w:rFonts w:ascii="BIZ UDPゴシック" w:eastAsia="BIZ UDPゴシック" w:hAnsi="BIZ UDPゴシック" w:cs="Calibri"/>
          <w:sz w:val="18"/>
          <w:szCs w:val="18"/>
        </w:rPr>
        <w:lastRenderedPageBreak/>
        <w:t>が属人化。人為的ミスや特定担当者への業務集中というオペレーショナルリスクとコスト増大を招いています。</w:t>
      </w:r>
      <w:r w:rsidR="00FC137A" w:rsidRPr="005453FB">
        <w:rPr>
          <w:rFonts w:ascii="BIZ UDPゴシック" w:eastAsia="BIZ UDPゴシック" w:hAnsi="BIZ UDPゴシック" w:cs="Calibri"/>
          <w:sz w:val="18"/>
          <w:szCs w:val="18"/>
        </w:rPr>
        <w:br/>
      </w:r>
      <w:r w:rsidRPr="005453FB">
        <w:rPr>
          <w:rFonts w:ascii="BIZ UDPゴシック" w:eastAsia="BIZ UDPゴシック" w:hAnsi="BIZ UDPゴシック" w:cs="Calibri"/>
          <w:b/>
          <w:bCs/>
          <w:sz w:val="18"/>
          <w:szCs w:val="18"/>
        </w:rPr>
        <w:t>委員会の方針（第6回会合にて合意済み）：</w:t>
      </w:r>
    </w:p>
    <w:p w14:paraId="2EB2F369" w14:textId="0B317CBD" w:rsidR="000669EA" w:rsidRPr="005453FB" w:rsidRDefault="00F54783" w:rsidP="00D060FC">
      <w:pPr>
        <w:pBdr>
          <w:left w:val="inset" w:sz="20" w:space="14" w:color="AAAAAA"/>
        </w:pBdr>
        <w:spacing w:before="0" w:after="0"/>
        <w:ind w:left="720" w:hanging="36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推奨標準パターン：「取引日の古い順、同日内は価格の安い順」</w:t>
      </w:r>
      <w:r w:rsidR="00EA1DCD" w:rsidRPr="005453FB">
        <w:rPr>
          <w:rFonts w:ascii="BIZ UDPゴシック" w:eastAsia="BIZ UDPゴシック" w:hAnsi="BIZ UDPゴシック" w:cs="Calibri" w:hint="eastAsia"/>
          <w:b/>
          <w:bCs/>
          <w:sz w:val="18"/>
          <w:szCs w:val="18"/>
        </w:rPr>
        <w:t>他1-2種類</w:t>
      </w:r>
    </w:p>
    <w:p w14:paraId="2230C74B" w14:textId="5B3F869E"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主要ブローカー各社へのヒアリングの結果、</w:t>
      </w:r>
      <w:r w:rsidR="00AE4719" w:rsidRPr="005453FB">
        <w:rPr>
          <w:rFonts w:ascii="BIZ UDPゴシック" w:eastAsia="BIZ UDPゴシック" w:hAnsi="BIZ UDPゴシック" w:cs="Calibri"/>
          <w:sz w:val="18"/>
          <w:szCs w:val="18"/>
        </w:rPr>
        <w:t>「取引日の古い順、同日内は価格の安い順」</w:t>
      </w:r>
      <w:r w:rsidRPr="005453FB">
        <w:rPr>
          <w:rFonts w:ascii="BIZ UDPゴシック" w:eastAsia="BIZ UDPゴシック" w:hAnsi="BIZ UDPゴシック" w:cs="Calibri"/>
          <w:sz w:val="18"/>
          <w:szCs w:val="18"/>
        </w:rPr>
        <w:t>が「大多数のブローカーで共通して対応可能」であることが確認されました。</w:t>
      </w:r>
      <w:r w:rsidR="00EA1DCD" w:rsidRPr="005453FB">
        <w:rPr>
          <w:rFonts w:ascii="BIZ UDPゴシック" w:eastAsia="BIZ UDPゴシック" w:hAnsi="BIZ UDPゴシック" w:cs="Calibri"/>
          <w:sz w:val="18"/>
          <w:szCs w:val="18"/>
        </w:rPr>
        <w:t>これを業界標準</w:t>
      </w:r>
      <w:r w:rsidR="00EA1DCD" w:rsidRPr="005453FB">
        <w:rPr>
          <w:rFonts w:ascii="BIZ UDPゴシック" w:eastAsia="BIZ UDPゴシック" w:hAnsi="BIZ UDPゴシック" w:cs="Calibri" w:hint="eastAsia"/>
          <w:sz w:val="18"/>
          <w:szCs w:val="18"/>
        </w:rPr>
        <w:t>のベースとし、</w:t>
      </w:r>
      <w:r w:rsidR="00AE4719" w:rsidRPr="005453FB">
        <w:rPr>
          <w:rFonts w:ascii="BIZ UDPゴシック" w:eastAsia="BIZ UDPゴシック" w:hAnsi="BIZ UDPゴシック" w:cs="Calibri" w:hint="eastAsia"/>
          <w:sz w:val="18"/>
          <w:szCs w:val="18"/>
        </w:rPr>
        <w:t>他1-2種類を含めた全</w:t>
      </w:r>
      <w:r w:rsidR="00EA1DCD" w:rsidRPr="005453FB">
        <w:rPr>
          <w:rFonts w:ascii="BIZ UDPゴシック" w:eastAsia="BIZ UDPゴシック" w:hAnsi="BIZ UDPゴシック" w:cs="Calibri" w:hint="eastAsia"/>
          <w:sz w:val="18"/>
          <w:szCs w:val="18"/>
        </w:rPr>
        <w:t>2-3種類</w:t>
      </w:r>
      <w:r w:rsidR="00AE4719" w:rsidRPr="005453FB">
        <w:rPr>
          <w:rFonts w:ascii="BIZ UDPゴシック" w:eastAsia="BIZ UDPゴシック" w:hAnsi="BIZ UDPゴシック" w:cs="Calibri" w:hint="eastAsia"/>
          <w:sz w:val="18"/>
          <w:szCs w:val="18"/>
        </w:rPr>
        <w:t>を</w:t>
      </w:r>
      <w:r w:rsidR="00EA1DCD" w:rsidRPr="005453FB">
        <w:rPr>
          <w:rFonts w:ascii="BIZ UDPゴシック" w:eastAsia="BIZ UDPゴシック" w:hAnsi="BIZ UDPゴシック" w:cs="Calibri" w:hint="eastAsia"/>
          <w:sz w:val="18"/>
          <w:szCs w:val="18"/>
        </w:rPr>
        <w:t>標準パターンとして</w:t>
      </w:r>
      <w:r w:rsidR="00EA1DCD" w:rsidRPr="005453FB">
        <w:rPr>
          <w:rFonts w:ascii="BIZ UDPゴシック" w:eastAsia="BIZ UDPゴシック" w:hAnsi="BIZ UDPゴシック" w:cs="Calibri"/>
          <w:sz w:val="18"/>
          <w:szCs w:val="18"/>
        </w:rPr>
        <w:t>推奨することを目指します。</w:t>
      </w:r>
    </w:p>
    <w:p w14:paraId="58BB5B63"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3" w:name="a-1-3-夜間取引の約定日扱いの不統一"/>
      <w:r w:rsidRPr="005453FB">
        <w:rPr>
          <w:rFonts w:ascii="BIZ UDPゴシック" w:eastAsia="BIZ UDPゴシック" w:hAnsi="BIZ UDPゴシック" w:cs="Calibri"/>
          <w:sz w:val="24"/>
          <w:szCs w:val="24"/>
        </w:rPr>
        <w:t>A-1-3. 夜間取引の約定日扱いの不統一</w:t>
      </w:r>
      <w:bookmarkEnd w:id="13"/>
    </w:p>
    <w:p w14:paraId="26ADB9C9"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大阪取引所（OSE）の夜間セッション（17:00〜翌6:00）での約定を「どの取引日の取引」として管理するかについて、業界内で複数の解釈が存在します。これが平均単価計算の不統一と組み合わさることで、照合差異の一因となっています。本質問票のQ④は、この論点に特化した設問です。</w:t>
      </w:r>
    </w:p>
    <w:p w14:paraId="6A3338D3" w14:textId="77777777" w:rsidR="003679E0" w:rsidRPr="005453FB" w:rsidRDefault="003679E0" w:rsidP="00D060FC">
      <w:pPr>
        <w:spacing w:before="0" w:after="0"/>
        <w:contextualSpacing/>
        <w:rPr>
          <w:rFonts w:ascii="BIZ UDPゴシック" w:eastAsia="BIZ UDPゴシック" w:hAnsi="BIZ UDPゴシック" w:cs="Calibri"/>
          <w:sz w:val="18"/>
          <w:szCs w:val="18"/>
        </w:rPr>
      </w:pPr>
    </w:p>
    <w:p w14:paraId="7F61BBF0" w14:textId="77777777" w:rsidR="000669EA" w:rsidRPr="005453FB" w:rsidRDefault="00F54783" w:rsidP="00D060FC">
      <w:pPr>
        <w:pStyle w:val="1"/>
        <w:spacing w:before="0"/>
        <w:contextualSpacing/>
        <w:rPr>
          <w:rFonts w:ascii="BIZ UDPゴシック" w:eastAsia="BIZ UDPゴシック" w:hAnsi="BIZ UDPゴシック" w:cs="Calibri"/>
          <w:sz w:val="28"/>
          <w:szCs w:val="28"/>
        </w:rPr>
      </w:pPr>
      <w:bookmarkStart w:id="14" w:name="a-2-委員会の活動経緯と成果"/>
      <w:r w:rsidRPr="005453FB">
        <w:rPr>
          <w:rFonts w:ascii="BIZ UDPゴシック" w:eastAsia="BIZ UDPゴシック" w:hAnsi="BIZ UDPゴシック" w:cs="Calibri"/>
          <w:sz w:val="28"/>
          <w:szCs w:val="28"/>
        </w:rPr>
        <w:t>A-2. 委員会の活動経緯と成果</w:t>
      </w:r>
      <w:bookmarkEnd w:id="14"/>
    </w:p>
    <w:p w14:paraId="6373E830"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5" w:name="a-2-1-活動フェーズの概要"/>
      <w:r w:rsidRPr="005453FB">
        <w:rPr>
          <w:rFonts w:ascii="BIZ UDPゴシック" w:eastAsia="BIZ UDPゴシック" w:hAnsi="BIZ UDPゴシック" w:cs="Calibri"/>
          <w:sz w:val="24"/>
          <w:szCs w:val="24"/>
        </w:rPr>
        <w:t>A-2-1. 活動フェーズの概要</w:t>
      </w:r>
      <w:bookmarkEnd w:id="15"/>
    </w:p>
    <w:p w14:paraId="709F58F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FIA Japan オペレーション委員会は、2025年6月から2026年6月の現在に至るまで、以下のフェーズで活動を進めてきました。</w:t>
      </w:r>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2078"/>
        <w:gridCol w:w="3218"/>
        <w:gridCol w:w="3728"/>
      </w:tblGrid>
      <w:tr w:rsidR="000669EA" w:rsidRPr="005453FB" w14:paraId="3595A07D" w14:textId="77777777">
        <w:trPr>
          <w:tblHeader/>
        </w:trPr>
        <w:tc>
          <w:tcPr>
            <w:tcW w:w="500" w:type="auto"/>
            <w:shd w:val="solid" w:color="auto" w:fill="B79C2F"/>
            <w:tcMar>
              <w:left w:w="60" w:type="dxa"/>
              <w:right w:w="60" w:type="dxa"/>
            </w:tcMar>
            <w:vAlign w:val="center"/>
          </w:tcPr>
          <w:p w14:paraId="2C2512A3"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フェーズ</w:t>
            </w:r>
          </w:p>
        </w:tc>
        <w:tc>
          <w:tcPr>
            <w:tcW w:w="500" w:type="auto"/>
            <w:shd w:val="solid" w:color="auto" w:fill="B79C2F"/>
            <w:tcMar>
              <w:left w:w="60" w:type="dxa"/>
              <w:right w:w="60" w:type="dxa"/>
            </w:tcMar>
            <w:vAlign w:val="center"/>
          </w:tcPr>
          <w:p w14:paraId="2548CA76"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対応会合</w:t>
            </w:r>
          </w:p>
        </w:tc>
        <w:tc>
          <w:tcPr>
            <w:tcW w:w="500" w:type="auto"/>
            <w:shd w:val="solid" w:color="auto" w:fill="B79C2F"/>
            <w:tcMar>
              <w:left w:w="60" w:type="dxa"/>
              <w:right w:w="60" w:type="dxa"/>
            </w:tcMar>
            <w:vAlign w:val="center"/>
          </w:tcPr>
          <w:p w14:paraId="748BE323"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主要テーマ</w:t>
            </w:r>
          </w:p>
        </w:tc>
      </w:tr>
      <w:tr w:rsidR="000669EA" w:rsidRPr="005453FB" w14:paraId="723B1538" w14:textId="77777777">
        <w:tc>
          <w:tcPr>
            <w:tcW w:w="500" w:type="auto"/>
            <w:tcMar>
              <w:left w:w="60" w:type="dxa"/>
              <w:right w:w="60" w:type="dxa"/>
            </w:tcMar>
            <w:vAlign w:val="center"/>
          </w:tcPr>
          <w:p w14:paraId="483AAF1B"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Phase 1：課題整理</w:t>
            </w:r>
          </w:p>
        </w:tc>
        <w:tc>
          <w:tcPr>
            <w:tcW w:w="500" w:type="auto"/>
            <w:tcMar>
              <w:left w:w="60" w:type="dxa"/>
              <w:right w:w="60" w:type="dxa"/>
            </w:tcMar>
            <w:vAlign w:val="center"/>
          </w:tcPr>
          <w:p w14:paraId="0E5C748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第1・2回（2025年6〜7月）</w:t>
            </w:r>
          </w:p>
        </w:tc>
        <w:tc>
          <w:tcPr>
            <w:tcW w:w="500" w:type="auto"/>
            <w:tcMar>
              <w:left w:w="60" w:type="dxa"/>
              <w:right w:w="60" w:type="dxa"/>
            </w:tcMar>
            <w:vAlign w:val="center"/>
          </w:tcPr>
          <w:p w14:paraId="0BEF311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現状課題の可視化・参加者間の問題意識の共有</w:t>
            </w:r>
          </w:p>
        </w:tc>
      </w:tr>
      <w:tr w:rsidR="000669EA" w:rsidRPr="005453FB" w14:paraId="27F0D1DB" w14:textId="77777777">
        <w:tc>
          <w:tcPr>
            <w:tcW w:w="500" w:type="auto"/>
            <w:tcMar>
              <w:left w:w="60" w:type="dxa"/>
              <w:right w:w="60" w:type="dxa"/>
            </w:tcMar>
            <w:vAlign w:val="center"/>
          </w:tcPr>
          <w:p w14:paraId="5FAA0BB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Phase 2：論点深化</w:t>
            </w:r>
          </w:p>
        </w:tc>
        <w:tc>
          <w:tcPr>
            <w:tcW w:w="500" w:type="auto"/>
            <w:tcMar>
              <w:left w:w="60" w:type="dxa"/>
              <w:right w:w="60" w:type="dxa"/>
            </w:tcMar>
            <w:vAlign w:val="center"/>
          </w:tcPr>
          <w:p w14:paraId="198F530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第3〜5回（2025年8〜10月）</w:t>
            </w:r>
          </w:p>
        </w:tc>
        <w:tc>
          <w:tcPr>
            <w:tcW w:w="500" w:type="auto"/>
            <w:tcMar>
              <w:left w:w="60" w:type="dxa"/>
              <w:right w:w="60" w:type="dxa"/>
            </w:tcMar>
            <w:vAlign w:val="center"/>
          </w:tcPr>
          <w:p w14:paraId="2A700EB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建玉決済・平均単価・照合プロセスの詳細議論</w:t>
            </w:r>
          </w:p>
        </w:tc>
      </w:tr>
      <w:tr w:rsidR="000669EA" w:rsidRPr="005453FB" w14:paraId="62B2F9BD" w14:textId="77777777">
        <w:tc>
          <w:tcPr>
            <w:tcW w:w="500" w:type="auto"/>
            <w:tcMar>
              <w:left w:w="60" w:type="dxa"/>
              <w:right w:w="60" w:type="dxa"/>
            </w:tcMar>
            <w:vAlign w:val="center"/>
          </w:tcPr>
          <w:p w14:paraId="5CAF767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Phase 3：コンセンサス形成</w:t>
            </w:r>
          </w:p>
        </w:tc>
        <w:tc>
          <w:tcPr>
            <w:tcW w:w="500" w:type="auto"/>
            <w:tcMar>
              <w:left w:w="60" w:type="dxa"/>
              <w:right w:w="60" w:type="dxa"/>
            </w:tcMar>
            <w:vAlign w:val="center"/>
          </w:tcPr>
          <w:p w14:paraId="52602D4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第6〜7回（2025年11月〜2026年1月）</w:t>
            </w:r>
          </w:p>
        </w:tc>
        <w:tc>
          <w:tcPr>
            <w:tcW w:w="500" w:type="auto"/>
            <w:tcMar>
              <w:left w:w="60" w:type="dxa"/>
              <w:right w:w="60" w:type="dxa"/>
            </w:tcMar>
            <w:vAlign w:val="center"/>
          </w:tcPr>
          <w:p w14:paraId="4EB7227D" w14:textId="21C73BCA" w:rsidR="000669EA" w:rsidRPr="005453FB" w:rsidRDefault="00EA1DCD"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FIFO</w:t>
            </w:r>
            <w:r w:rsidRPr="005453FB">
              <w:rPr>
                <w:rFonts w:ascii="BIZ UDPゴシック" w:eastAsia="BIZ UDPゴシック" w:hAnsi="BIZ UDPゴシック" w:cs="Calibri" w:hint="eastAsia"/>
                <w:sz w:val="18"/>
                <w:szCs w:val="18"/>
              </w:rPr>
              <w:t>標準パターン</w:t>
            </w:r>
            <w:r w:rsidR="00F54783" w:rsidRPr="005453FB">
              <w:rPr>
                <w:rFonts w:ascii="BIZ UDPゴシック" w:eastAsia="BIZ UDPゴシック" w:hAnsi="BIZ UDPゴシック" w:cs="Calibri"/>
                <w:sz w:val="18"/>
                <w:szCs w:val="18"/>
              </w:rPr>
              <w:t>の採用合意・新規/決済区分整理</w:t>
            </w:r>
          </w:p>
        </w:tc>
      </w:tr>
      <w:tr w:rsidR="000669EA" w:rsidRPr="005453FB" w14:paraId="5AA2299B" w14:textId="77777777">
        <w:tc>
          <w:tcPr>
            <w:tcW w:w="500" w:type="auto"/>
            <w:tcMar>
              <w:left w:w="60" w:type="dxa"/>
              <w:right w:w="60" w:type="dxa"/>
            </w:tcMar>
            <w:vAlign w:val="center"/>
          </w:tcPr>
          <w:p w14:paraId="0723A9D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Phase 4：外部展開準備</w:t>
            </w:r>
          </w:p>
        </w:tc>
        <w:tc>
          <w:tcPr>
            <w:tcW w:w="500" w:type="auto"/>
            <w:tcMar>
              <w:left w:w="60" w:type="dxa"/>
              <w:right w:w="60" w:type="dxa"/>
            </w:tcMar>
            <w:vAlign w:val="center"/>
          </w:tcPr>
          <w:p w14:paraId="7E368ED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第8〜12回（2026年2月〜6月）</w:t>
            </w:r>
          </w:p>
        </w:tc>
        <w:tc>
          <w:tcPr>
            <w:tcW w:w="500" w:type="auto"/>
            <w:tcMar>
              <w:left w:w="60" w:type="dxa"/>
              <w:right w:w="60" w:type="dxa"/>
            </w:tcMar>
            <w:vAlign w:val="center"/>
          </w:tcPr>
          <w:p w14:paraId="0E11C43E"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ホワイトペーパー承認・業界ヒアリング準備・FAMF連携</w:t>
            </w:r>
          </w:p>
        </w:tc>
      </w:tr>
    </w:tbl>
    <w:p w14:paraId="1A230A29"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6" w:name="a-2-2-主要な合意事項"/>
      <w:r w:rsidRPr="005453FB">
        <w:rPr>
          <w:rFonts w:ascii="BIZ UDPゴシック" w:eastAsia="BIZ UDPゴシック" w:hAnsi="BIZ UDPゴシック" w:cs="Calibri"/>
          <w:sz w:val="24"/>
          <w:szCs w:val="24"/>
        </w:rPr>
        <w:t>A-2-2. 主要な合意事項</w:t>
      </w:r>
      <w:bookmarkEnd w:id="16"/>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6105"/>
        <w:gridCol w:w="2919"/>
      </w:tblGrid>
      <w:tr w:rsidR="000669EA" w:rsidRPr="005453FB" w14:paraId="3A7EE75F" w14:textId="77777777">
        <w:trPr>
          <w:tblHeader/>
        </w:trPr>
        <w:tc>
          <w:tcPr>
            <w:tcW w:w="500" w:type="auto"/>
            <w:shd w:val="solid" w:color="auto" w:fill="B79C2F"/>
            <w:tcMar>
              <w:left w:w="60" w:type="dxa"/>
              <w:right w:w="60" w:type="dxa"/>
            </w:tcMar>
            <w:vAlign w:val="center"/>
          </w:tcPr>
          <w:p w14:paraId="4D497B1E"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合意内容</w:t>
            </w:r>
          </w:p>
        </w:tc>
        <w:tc>
          <w:tcPr>
            <w:tcW w:w="500" w:type="auto"/>
            <w:shd w:val="solid" w:color="auto" w:fill="B79C2F"/>
            <w:tcMar>
              <w:left w:w="60" w:type="dxa"/>
              <w:right w:w="60" w:type="dxa"/>
            </w:tcMar>
            <w:vAlign w:val="center"/>
          </w:tcPr>
          <w:p w14:paraId="17051EE5"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合意時期</w:t>
            </w:r>
          </w:p>
        </w:tc>
      </w:tr>
      <w:tr w:rsidR="000669EA" w:rsidRPr="005453FB" w14:paraId="7FD0A004" w14:textId="77777777">
        <w:tc>
          <w:tcPr>
            <w:tcW w:w="500" w:type="auto"/>
            <w:tcMar>
              <w:left w:w="60" w:type="dxa"/>
              <w:right w:w="60" w:type="dxa"/>
            </w:tcMar>
            <w:vAlign w:val="center"/>
          </w:tcPr>
          <w:p w14:paraId="317EF97C" w14:textId="2B2EF8ED" w:rsidR="000669EA" w:rsidRPr="005453FB" w:rsidRDefault="00EA1DCD"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FIFOロジックを</w:t>
            </w:r>
            <w:r w:rsidRPr="005453FB">
              <w:rPr>
                <w:rFonts w:ascii="BIZ UDPゴシック" w:eastAsia="BIZ UDPゴシック" w:hAnsi="BIZ UDPゴシック" w:cs="Calibri" w:hint="eastAsia"/>
                <w:sz w:val="18"/>
                <w:szCs w:val="18"/>
              </w:rPr>
              <w:t>2-3種類に絞り</w:t>
            </w:r>
            <w:r w:rsidRPr="005453FB">
              <w:rPr>
                <w:rFonts w:ascii="BIZ UDPゴシック" w:eastAsia="BIZ UDPゴシック" w:hAnsi="BIZ UDPゴシック" w:cs="Calibri"/>
                <w:sz w:val="18"/>
                <w:szCs w:val="18"/>
              </w:rPr>
              <w:t>業界標準として採用（「取引日の古い順、同日内は価格の安い順」</w:t>
            </w:r>
            <w:r w:rsidRPr="005453FB">
              <w:rPr>
                <w:rFonts w:ascii="BIZ UDPゴシック" w:eastAsia="BIZ UDPゴシック" w:hAnsi="BIZ UDPゴシック" w:cs="Calibri" w:hint="eastAsia"/>
                <w:sz w:val="18"/>
                <w:szCs w:val="18"/>
              </w:rPr>
              <w:t>他1-2種類</w:t>
            </w:r>
            <w:r w:rsidRPr="005453FB">
              <w:rPr>
                <w:rFonts w:ascii="BIZ UDPゴシック" w:eastAsia="BIZ UDPゴシック" w:hAnsi="BIZ UDPゴシック" w:cs="Calibri"/>
                <w:sz w:val="18"/>
                <w:szCs w:val="18"/>
              </w:rPr>
              <w:t>）</w:t>
            </w:r>
          </w:p>
        </w:tc>
        <w:tc>
          <w:tcPr>
            <w:tcW w:w="500" w:type="auto"/>
            <w:tcMar>
              <w:left w:w="60" w:type="dxa"/>
              <w:right w:w="60" w:type="dxa"/>
            </w:tcMar>
            <w:vAlign w:val="center"/>
          </w:tcPr>
          <w:p w14:paraId="6F35D8F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第6回（2025年11月）</w:t>
            </w:r>
          </w:p>
        </w:tc>
      </w:tr>
      <w:tr w:rsidR="000669EA" w:rsidRPr="005453FB" w14:paraId="082BBC06" w14:textId="77777777">
        <w:tc>
          <w:tcPr>
            <w:tcW w:w="500" w:type="auto"/>
            <w:tcMar>
              <w:left w:w="60" w:type="dxa"/>
              <w:right w:w="60" w:type="dxa"/>
            </w:tcMar>
            <w:vAlign w:val="center"/>
          </w:tcPr>
          <w:p w14:paraId="0197AD1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新規/決済区分は事前合意（口座開設時）により廃止可能（OSE受託契約準則第9条に基づく解釈）</w:t>
            </w:r>
          </w:p>
        </w:tc>
        <w:tc>
          <w:tcPr>
            <w:tcW w:w="500" w:type="auto"/>
            <w:tcMar>
              <w:left w:w="60" w:type="dxa"/>
              <w:right w:w="60" w:type="dxa"/>
            </w:tcMar>
            <w:vAlign w:val="center"/>
          </w:tcPr>
          <w:p w14:paraId="32D7498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第6回（2025年11月）</w:t>
            </w:r>
          </w:p>
        </w:tc>
      </w:tr>
      <w:tr w:rsidR="000669EA" w:rsidRPr="005453FB" w14:paraId="3E17A2D7" w14:textId="77777777">
        <w:tc>
          <w:tcPr>
            <w:tcW w:w="500" w:type="auto"/>
            <w:tcMar>
              <w:left w:w="60" w:type="dxa"/>
              <w:right w:w="60" w:type="dxa"/>
            </w:tcMar>
            <w:vAlign w:val="center"/>
          </w:tcPr>
          <w:p w14:paraId="10D8EF3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平均単価（評価損益）：単価方式を推奨方式として決定</w:t>
            </w:r>
          </w:p>
        </w:tc>
        <w:tc>
          <w:tcPr>
            <w:tcW w:w="500" w:type="auto"/>
            <w:tcMar>
              <w:left w:w="60" w:type="dxa"/>
              <w:right w:w="60" w:type="dxa"/>
            </w:tcMar>
            <w:vAlign w:val="center"/>
          </w:tcPr>
          <w:p w14:paraId="6D5DAF3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第9回（2026年3月）</w:t>
            </w:r>
          </w:p>
        </w:tc>
      </w:tr>
      <w:tr w:rsidR="000669EA" w:rsidRPr="005453FB" w14:paraId="3357E2F2" w14:textId="77777777">
        <w:tc>
          <w:tcPr>
            <w:tcW w:w="500" w:type="auto"/>
            <w:tcMar>
              <w:left w:w="60" w:type="dxa"/>
              <w:right w:w="60" w:type="dxa"/>
            </w:tcMar>
            <w:vAlign w:val="center"/>
          </w:tcPr>
          <w:p w14:paraId="2BCEE9D9"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ホワイトペーパー（v2.1）の正式承認・公表</w:t>
            </w:r>
          </w:p>
        </w:tc>
        <w:tc>
          <w:tcPr>
            <w:tcW w:w="500" w:type="auto"/>
            <w:tcMar>
              <w:left w:w="60" w:type="dxa"/>
              <w:right w:w="60" w:type="dxa"/>
            </w:tcMar>
            <w:vAlign w:val="center"/>
          </w:tcPr>
          <w:p w14:paraId="3BEDF835"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 xml:space="preserve">第9回（2026年2月19日 </w:t>
            </w:r>
            <w:r w:rsidRPr="005453FB">
              <w:rPr>
                <w:rFonts w:ascii="BIZ UDPゴシック" w:eastAsia="BIZ UDPゴシック" w:hAnsi="BIZ UDPゴシック" w:cs="Calibri"/>
                <w:sz w:val="18"/>
                <w:szCs w:val="18"/>
              </w:rPr>
              <w:lastRenderedPageBreak/>
              <w:t>FIAJ代表者会議）</w:t>
            </w:r>
          </w:p>
        </w:tc>
      </w:tr>
      <w:tr w:rsidR="000669EA" w:rsidRPr="005453FB" w14:paraId="467ECAAA" w14:textId="77777777">
        <w:tc>
          <w:tcPr>
            <w:tcW w:w="500" w:type="auto"/>
            <w:tcMar>
              <w:left w:w="60" w:type="dxa"/>
              <w:right w:w="60" w:type="dxa"/>
            </w:tcMar>
            <w:vAlign w:val="center"/>
          </w:tcPr>
          <w:p w14:paraId="4DAA21A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lastRenderedPageBreak/>
              <w:t>平均単価（実現損益）：単価方式を推奨方式とする方向で調整中</w:t>
            </w:r>
          </w:p>
        </w:tc>
        <w:tc>
          <w:tcPr>
            <w:tcW w:w="500" w:type="auto"/>
            <w:tcMar>
              <w:left w:w="60" w:type="dxa"/>
              <w:right w:w="60" w:type="dxa"/>
            </w:tcMar>
            <w:vAlign w:val="center"/>
          </w:tcPr>
          <w:p w14:paraId="12D9BEF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第11回（2026年5月）〜継続</w:t>
            </w:r>
          </w:p>
        </w:tc>
      </w:tr>
    </w:tbl>
    <w:p w14:paraId="0931AE8F" w14:textId="77777777" w:rsidR="000669EA" w:rsidRPr="005453FB" w:rsidRDefault="00F54783" w:rsidP="00D060FC">
      <w:pPr>
        <w:pStyle w:val="2"/>
        <w:spacing w:before="0" w:after="0"/>
        <w:contextualSpacing/>
        <w:rPr>
          <w:rFonts w:ascii="BIZ UDPゴシック" w:eastAsia="BIZ UDPゴシック" w:hAnsi="BIZ UDPゴシック" w:cs="Calibri"/>
          <w:sz w:val="24"/>
          <w:szCs w:val="24"/>
        </w:rPr>
      </w:pPr>
      <w:bookmarkStart w:id="17" w:name="a-2-3-標準化に向けたロードマップ（ホワイトペーパーより）"/>
      <w:r w:rsidRPr="005453FB">
        <w:rPr>
          <w:rFonts w:ascii="BIZ UDPゴシック" w:eastAsia="BIZ UDPゴシック" w:hAnsi="BIZ UDPゴシック" w:cs="Calibri"/>
          <w:sz w:val="24"/>
          <w:szCs w:val="24"/>
        </w:rPr>
        <w:t>A-2-3. 標準化に向けたロードマップ（ホワイトペーパーより）</w:t>
      </w:r>
      <w:bookmarkEnd w:id="17"/>
    </w:p>
    <w:p w14:paraId="52024C69" w14:textId="138B28F4" w:rsidR="000669EA" w:rsidRPr="005453FB" w:rsidRDefault="00F54783" w:rsidP="00D060FC">
      <w:pPr>
        <w:keepLines/>
        <w:pBdr>
          <w:top w:val="single" w:sz="1" w:space="6" w:color="auto"/>
          <w:left w:val="single" w:sz="1" w:space="10" w:color="auto"/>
          <w:bottom w:val="single" w:sz="1" w:space="5" w:color="auto"/>
          <w:right w:val="single" w:sz="1" w:space="5" w:color="auto"/>
        </w:pBd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Phase 1（2026年）：現状把握・コンセンサス形成</w:t>
      </w:r>
      <w:r w:rsidRPr="005453FB">
        <w:rPr>
          <w:rFonts w:ascii="BIZ UDPゴシック" w:eastAsia="BIZ UDPゴシック" w:hAnsi="BIZ UDPゴシック" w:cs="Calibri"/>
          <w:sz w:val="18"/>
          <w:szCs w:val="18"/>
        </w:rPr>
        <w:br/>
        <w:t xml:space="preserve">  → 業界ヒアリング（本質問票）</w:t>
      </w:r>
      <w:r w:rsidR="00EA1DCD" w:rsidRPr="005453FB">
        <w:rPr>
          <w:rFonts w:ascii="BIZ UDPゴシック" w:eastAsia="BIZ UDPゴシック" w:hAnsi="BIZ UDPゴシック" w:cs="Calibri" w:hint="eastAsia"/>
          <w:sz w:val="18"/>
          <w:szCs w:val="18"/>
        </w:rPr>
        <w:t>・FIA Japanのガイドライン作成</w:t>
      </w:r>
      <w:r w:rsidRPr="005453FB">
        <w:rPr>
          <w:rFonts w:ascii="BIZ UDPゴシック" w:eastAsia="BIZ UDPゴシック" w:hAnsi="BIZ UDPゴシック" w:cs="Calibri"/>
          <w:sz w:val="18"/>
          <w:szCs w:val="18"/>
        </w:rPr>
        <w:t>・JSDA提案準備</w:t>
      </w:r>
      <w:r w:rsidRPr="005453FB">
        <w:rPr>
          <w:rFonts w:ascii="BIZ UDPゴシック" w:eastAsia="BIZ UDPゴシック" w:hAnsi="BIZ UDPゴシック" w:cs="Calibri"/>
          <w:sz w:val="18"/>
          <w:szCs w:val="18"/>
        </w:rPr>
        <w:br/>
        <w:t>Phase 2（2027年）：標準モデルの策定・展開</w:t>
      </w:r>
      <w:r w:rsidRPr="005453FB">
        <w:rPr>
          <w:rFonts w:ascii="BIZ UDPゴシック" w:eastAsia="BIZ UDPゴシック" w:hAnsi="BIZ UDPゴシック" w:cs="Calibri"/>
          <w:sz w:val="18"/>
          <w:szCs w:val="18"/>
        </w:rPr>
        <w:br/>
        <w:t xml:space="preserve">  → JSDAガイドライン化・ベンダー対応確認</w:t>
      </w:r>
      <w:r w:rsidRPr="005453FB">
        <w:rPr>
          <w:rFonts w:ascii="BIZ UDPゴシック" w:eastAsia="BIZ UDPゴシック" w:hAnsi="BIZ UDPゴシック" w:cs="Calibri"/>
          <w:sz w:val="18"/>
          <w:szCs w:val="18"/>
        </w:rPr>
        <w:br/>
        <w:t>Phase 3（2028年〜）：実装・移行</w:t>
      </w:r>
    </w:p>
    <w:p w14:paraId="3D3A3548" w14:textId="77777777" w:rsidR="000669EA" w:rsidRPr="005453FB" w:rsidRDefault="000669EA" w:rsidP="00D060FC">
      <w:pPr>
        <w:pBdr>
          <w:top w:val="single" w:sz="6" w:space="0" w:color="auto"/>
        </w:pBdr>
        <w:spacing w:before="0" w:after="0"/>
        <w:contextualSpacing/>
        <w:rPr>
          <w:rFonts w:ascii="BIZ UDPゴシック" w:eastAsia="BIZ UDPゴシック" w:hAnsi="BIZ UDPゴシック" w:cs="Calibri"/>
          <w:sz w:val="18"/>
          <w:szCs w:val="18"/>
        </w:rPr>
      </w:pPr>
    </w:p>
    <w:p w14:paraId="7D1ADC86" w14:textId="77777777" w:rsidR="000669EA" w:rsidRPr="005453FB" w:rsidRDefault="00F54783" w:rsidP="00D060FC">
      <w:pPr>
        <w:pStyle w:val="1"/>
        <w:spacing w:before="0"/>
        <w:contextualSpacing/>
        <w:rPr>
          <w:rFonts w:ascii="BIZ UDPゴシック" w:eastAsia="BIZ UDPゴシック" w:hAnsi="BIZ UDPゴシック" w:cs="Calibri"/>
          <w:sz w:val="28"/>
          <w:szCs w:val="28"/>
        </w:rPr>
      </w:pPr>
      <w:bookmarkStart w:id="18" w:name="a-3-参考：国内外の主要な慣行比較"/>
      <w:r w:rsidRPr="005453FB">
        <w:rPr>
          <w:rFonts w:ascii="BIZ UDPゴシック" w:eastAsia="BIZ UDPゴシック" w:hAnsi="BIZ UDPゴシック" w:cs="Calibri"/>
          <w:sz w:val="28"/>
          <w:szCs w:val="28"/>
        </w:rPr>
        <w:t>A-3. 参考：国内外の主要な慣行比較</w:t>
      </w:r>
      <w:bookmarkEnd w:id="18"/>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1984"/>
        <w:gridCol w:w="2550"/>
        <w:gridCol w:w="2474"/>
        <w:gridCol w:w="2016"/>
      </w:tblGrid>
      <w:tr w:rsidR="000669EA" w:rsidRPr="005453FB" w14:paraId="61E800DA" w14:textId="77777777" w:rsidTr="00FC137A">
        <w:trPr>
          <w:tblHeader/>
        </w:trPr>
        <w:tc>
          <w:tcPr>
            <w:tcW w:w="1099" w:type="pct"/>
            <w:shd w:val="solid" w:color="auto" w:fill="B79C2F"/>
            <w:tcMar>
              <w:left w:w="60" w:type="dxa"/>
              <w:right w:w="60" w:type="dxa"/>
            </w:tcMar>
            <w:vAlign w:val="center"/>
          </w:tcPr>
          <w:p w14:paraId="0A8B0AED"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項目</w:t>
            </w:r>
          </w:p>
        </w:tc>
        <w:tc>
          <w:tcPr>
            <w:tcW w:w="1413" w:type="pct"/>
            <w:shd w:val="solid" w:color="auto" w:fill="B79C2F"/>
            <w:tcMar>
              <w:left w:w="60" w:type="dxa"/>
              <w:right w:w="60" w:type="dxa"/>
            </w:tcMar>
            <w:vAlign w:val="center"/>
          </w:tcPr>
          <w:p w14:paraId="132EDE86"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国内の現行慣行</w:t>
            </w:r>
          </w:p>
        </w:tc>
        <w:tc>
          <w:tcPr>
            <w:tcW w:w="1371" w:type="pct"/>
            <w:shd w:val="solid" w:color="auto" w:fill="B79C2F"/>
            <w:tcMar>
              <w:left w:w="60" w:type="dxa"/>
              <w:right w:w="60" w:type="dxa"/>
            </w:tcMar>
            <w:vAlign w:val="center"/>
          </w:tcPr>
          <w:p w14:paraId="081B658B"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グローバル標準</w:t>
            </w:r>
          </w:p>
        </w:tc>
        <w:tc>
          <w:tcPr>
            <w:tcW w:w="0" w:type="auto"/>
            <w:shd w:val="solid" w:color="auto" w:fill="B79C2F"/>
            <w:tcMar>
              <w:left w:w="60" w:type="dxa"/>
              <w:right w:w="60" w:type="dxa"/>
            </w:tcMar>
            <w:vAlign w:val="center"/>
          </w:tcPr>
          <w:p w14:paraId="1E133514"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乖離による影響</w:t>
            </w:r>
          </w:p>
        </w:tc>
      </w:tr>
      <w:tr w:rsidR="000669EA" w:rsidRPr="005453FB" w14:paraId="3F23E088" w14:textId="77777777" w:rsidTr="00FC137A">
        <w:tc>
          <w:tcPr>
            <w:tcW w:w="1099" w:type="pct"/>
            <w:tcMar>
              <w:left w:w="60" w:type="dxa"/>
              <w:right w:w="60" w:type="dxa"/>
            </w:tcMar>
            <w:vAlign w:val="center"/>
          </w:tcPr>
          <w:p w14:paraId="1C759B1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約定金額計算</w:t>
            </w:r>
          </w:p>
        </w:tc>
        <w:tc>
          <w:tcPr>
            <w:tcW w:w="1413" w:type="pct"/>
            <w:tcMar>
              <w:left w:w="60" w:type="dxa"/>
              <w:right w:w="60" w:type="dxa"/>
            </w:tcMar>
            <w:vAlign w:val="center"/>
          </w:tcPr>
          <w:p w14:paraId="66CA95EB" w14:textId="5DF538D9"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金額方式</w:t>
            </w:r>
            <w:r w:rsidR="002220A3" w:rsidRPr="005453FB">
              <w:rPr>
                <w:rFonts w:ascii="BIZ UDPゴシック" w:eastAsia="BIZ UDPゴシック" w:hAnsi="BIZ UDPゴシック" w:cs="Calibri" w:hint="eastAsia"/>
                <w:sz w:val="18"/>
                <w:szCs w:val="18"/>
              </w:rPr>
              <w:t>と</w:t>
            </w:r>
            <w:r w:rsidRPr="005453FB">
              <w:rPr>
                <w:rFonts w:ascii="BIZ UDPゴシック" w:eastAsia="BIZ UDPゴシック" w:hAnsi="BIZ UDPゴシック" w:cs="Calibri"/>
                <w:sz w:val="18"/>
                <w:szCs w:val="18"/>
              </w:rPr>
              <w:t>単価方式</w:t>
            </w:r>
            <w:r w:rsidR="002220A3" w:rsidRPr="005453FB">
              <w:rPr>
                <w:rFonts w:ascii="BIZ UDPゴシック" w:eastAsia="BIZ UDPゴシック" w:hAnsi="BIZ UDPゴシック" w:cs="Calibri" w:hint="eastAsia"/>
                <w:sz w:val="18"/>
                <w:szCs w:val="18"/>
              </w:rPr>
              <w:t>が</w:t>
            </w:r>
            <w:r w:rsidRPr="005453FB">
              <w:rPr>
                <w:rFonts w:ascii="BIZ UDPゴシック" w:eastAsia="BIZ UDPゴシック" w:hAnsi="BIZ UDPゴシック" w:cs="Calibri"/>
                <w:sz w:val="18"/>
                <w:szCs w:val="18"/>
              </w:rPr>
              <w:t>混在</w:t>
            </w:r>
          </w:p>
        </w:tc>
        <w:tc>
          <w:tcPr>
            <w:tcW w:w="1371" w:type="pct"/>
            <w:tcMar>
              <w:left w:w="60" w:type="dxa"/>
              <w:right w:w="60" w:type="dxa"/>
            </w:tcMar>
            <w:vAlign w:val="center"/>
          </w:tcPr>
          <w:p w14:paraId="04E641CD"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単価方式</w:t>
            </w:r>
          </w:p>
        </w:tc>
        <w:tc>
          <w:tcPr>
            <w:tcW w:w="0" w:type="auto"/>
            <w:tcMar>
              <w:left w:w="60" w:type="dxa"/>
              <w:right w:w="60" w:type="dxa"/>
            </w:tcMar>
            <w:vAlign w:val="center"/>
          </w:tcPr>
          <w:p w14:paraId="1076F86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グローバルシステムとの連携困難</w:t>
            </w:r>
          </w:p>
        </w:tc>
      </w:tr>
      <w:tr w:rsidR="000669EA" w:rsidRPr="005453FB" w14:paraId="080D75D8" w14:textId="77777777" w:rsidTr="00FC137A">
        <w:tc>
          <w:tcPr>
            <w:tcW w:w="1099" w:type="pct"/>
            <w:tcMar>
              <w:left w:w="60" w:type="dxa"/>
              <w:right w:w="60" w:type="dxa"/>
            </w:tcMar>
            <w:vAlign w:val="center"/>
          </w:tcPr>
          <w:p w14:paraId="5E6990D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建玉決済ロジック</w:t>
            </w:r>
          </w:p>
        </w:tc>
        <w:tc>
          <w:tcPr>
            <w:tcW w:w="1413" w:type="pct"/>
            <w:tcMar>
              <w:left w:w="60" w:type="dxa"/>
              <w:right w:w="60" w:type="dxa"/>
            </w:tcMar>
            <w:vAlign w:val="center"/>
          </w:tcPr>
          <w:p w14:paraId="12E6038A"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顧客ごとのカスタムロジックが乱立</w:t>
            </w:r>
          </w:p>
        </w:tc>
        <w:tc>
          <w:tcPr>
            <w:tcW w:w="1371" w:type="pct"/>
            <w:tcMar>
              <w:left w:w="60" w:type="dxa"/>
              <w:right w:w="60" w:type="dxa"/>
            </w:tcMar>
            <w:vAlign w:val="center"/>
          </w:tcPr>
          <w:p w14:paraId="1D22758A"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FIFO（シンプルなルール）</w:t>
            </w:r>
          </w:p>
        </w:tc>
        <w:tc>
          <w:tcPr>
            <w:tcW w:w="0" w:type="auto"/>
            <w:tcMar>
              <w:left w:w="60" w:type="dxa"/>
              <w:right w:w="60" w:type="dxa"/>
            </w:tcMar>
            <w:vAlign w:val="center"/>
          </w:tcPr>
          <w:p w14:paraId="4E03EFA5"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属人化・コスト増大・リスク増大</w:t>
            </w:r>
          </w:p>
        </w:tc>
      </w:tr>
      <w:tr w:rsidR="000669EA" w:rsidRPr="005453FB" w14:paraId="2579845B" w14:textId="77777777" w:rsidTr="00FC137A">
        <w:tc>
          <w:tcPr>
            <w:tcW w:w="1099" w:type="pct"/>
            <w:tcMar>
              <w:left w:w="60" w:type="dxa"/>
              <w:right w:w="60" w:type="dxa"/>
            </w:tcMar>
            <w:vAlign w:val="center"/>
          </w:tcPr>
          <w:p w14:paraId="076E9E5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オープン/クローズ指定</w:t>
            </w:r>
          </w:p>
        </w:tc>
        <w:tc>
          <w:tcPr>
            <w:tcW w:w="1413" w:type="pct"/>
            <w:tcMar>
              <w:left w:w="60" w:type="dxa"/>
              <w:right w:w="60" w:type="dxa"/>
            </w:tcMar>
            <w:vAlign w:val="center"/>
          </w:tcPr>
          <w:p w14:paraId="39BD0BEE"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発注時に新規/決済フラグ指定が慣行</w:t>
            </w:r>
          </w:p>
        </w:tc>
        <w:tc>
          <w:tcPr>
            <w:tcW w:w="1371" w:type="pct"/>
            <w:tcMar>
              <w:left w:w="60" w:type="dxa"/>
              <w:right w:w="60" w:type="dxa"/>
            </w:tcMar>
            <w:vAlign w:val="center"/>
          </w:tcPr>
          <w:p w14:paraId="247F764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フラグ指定は不要</w:t>
            </w:r>
          </w:p>
        </w:tc>
        <w:tc>
          <w:tcPr>
            <w:tcW w:w="0" w:type="auto"/>
            <w:tcMar>
              <w:left w:w="60" w:type="dxa"/>
              <w:right w:w="60" w:type="dxa"/>
            </w:tcMar>
            <w:vAlign w:val="center"/>
          </w:tcPr>
          <w:p w14:paraId="48E8C926"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自動化の阻害</w:t>
            </w:r>
          </w:p>
        </w:tc>
      </w:tr>
      <w:tr w:rsidR="000669EA" w:rsidRPr="005453FB" w14:paraId="28C33891" w14:textId="77777777" w:rsidTr="00FC137A">
        <w:tc>
          <w:tcPr>
            <w:tcW w:w="1099" w:type="pct"/>
            <w:tcMar>
              <w:left w:w="60" w:type="dxa"/>
              <w:right w:w="60" w:type="dxa"/>
            </w:tcMar>
            <w:vAlign w:val="center"/>
          </w:tcPr>
          <w:p w14:paraId="41D770D3"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ギブアップ処理</w:t>
            </w:r>
          </w:p>
        </w:tc>
        <w:tc>
          <w:tcPr>
            <w:tcW w:w="1413" w:type="pct"/>
            <w:tcMar>
              <w:left w:w="60" w:type="dxa"/>
              <w:right w:w="60" w:type="dxa"/>
            </w:tcMar>
            <w:vAlign w:val="center"/>
          </w:tcPr>
          <w:p w14:paraId="0110195C"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国内口座での活用が普及していない</w:t>
            </w:r>
          </w:p>
        </w:tc>
        <w:tc>
          <w:tcPr>
            <w:tcW w:w="1371" w:type="pct"/>
            <w:tcMar>
              <w:left w:w="60" w:type="dxa"/>
              <w:right w:w="60" w:type="dxa"/>
            </w:tcMar>
            <w:vAlign w:val="center"/>
          </w:tcPr>
          <w:p w14:paraId="61A9959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FIA DMIST 30-30-30ルール（約定後30分以内）</w:t>
            </w:r>
          </w:p>
        </w:tc>
        <w:tc>
          <w:tcPr>
            <w:tcW w:w="0" w:type="auto"/>
            <w:tcMar>
              <w:left w:w="60" w:type="dxa"/>
              <w:right w:w="60" w:type="dxa"/>
            </w:tcMar>
            <w:vAlign w:val="center"/>
          </w:tcPr>
          <w:p w14:paraId="41DBCFE4"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ポストトレード処理の遅延</w:t>
            </w:r>
          </w:p>
        </w:tc>
      </w:tr>
    </w:tbl>
    <w:p w14:paraId="645DEB3D" w14:textId="77777777" w:rsidR="000669EA" w:rsidRPr="005453FB" w:rsidRDefault="000669EA" w:rsidP="00D060FC">
      <w:pPr>
        <w:pBdr>
          <w:top w:val="single" w:sz="6" w:space="0" w:color="auto"/>
        </w:pBdr>
        <w:spacing w:before="0" w:after="0"/>
        <w:contextualSpacing/>
        <w:rPr>
          <w:rFonts w:ascii="BIZ UDPゴシック" w:eastAsia="BIZ UDPゴシック" w:hAnsi="BIZ UDPゴシック" w:cs="Calibri"/>
          <w:sz w:val="18"/>
          <w:szCs w:val="18"/>
        </w:rPr>
      </w:pPr>
    </w:p>
    <w:p w14:paraId="021677D4" w14:textId="77777777" w:rsidR="000669EA" w:rsidRPr="005453FB" w:rsidRDefault="00F54783" w:rsidP="00D060FC">
      <w:pPr>
        <w:pStyle w:val="1"/>
        <w:spacing w:before="0"/>
        <w:contextualSpacing/>
        <w:rPr>
          <w:rFonts w:ascii="BIZ UDPゴシック" w:eastAsia="BIZ UDPゴシック" w:hAnsi="BIZ UDPゴシック" w:cs="Calibri"/>
          <w:sz w:val="28"/>
          <w:szCs w:val="28"/>
        </w:rPr>
      </w:pPr>
      <w:bookmarkStart w:id="19" w:name="a-4-関連規制・ガイドライン"/>
      <w:r w:rsidRPr="005453FB">
        <w:rPr>
          <w:rFonts w:ascii="BIZ UDPゴシック" w:eastAsia="BIZ UDPゴシック" w:hAnsi="BIZ UDPゴシック" w:cs="Calibri"/>
          <w:sz w:val="28"/>
          <w:szCs w:val="28"/>
        </w:rPr>
        <w:t>A-4. 関連規制・ガイドライン</w:t>
      </w:r>
      <w:bookmarkEnd w:id="19"/>
    </w:p>
    <w:tbl>
      <w:tblPr>
        <w:tblW w:w="5000" w:type="pct"/>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13" w:type="dxa"/>
          <w:left w:w="226" w:type="dxa"/>
          <w:bottom w:w="113" w:type="dxa"/>
          <w:right w:w="226" w:type="dxa"/>
        </w:tblCellMar>
        <w:tblLook w:val="0000" w:firstRow="0" w:lastRow="0" w:firstColumn="0" w:lastColumn="0" w:noHBand="0" w:noVBand="0"/>
      </w:tblPr>
      <w:tblGrid>
        <w:gridCol w:w="4028"/>
        <w:gridCol w:w="1761"/>
        <w:gridCol w:w="3235"/>
      </w:tblGrid>
      <w:tr w:rsidR="000669EA" w:rsidRPr="005453FB" w14:paraId="3C60E219" w14:textId="77777777">
        <w:trPr>
          <w:tblHeader/>
        </w:trPr>
        <w:tc>
          <w:tcPr>
            <w:tcW w:w="500" w:type="auto"/>
            <w:shd w:val="solid" w:color="auto" w:fill="B79C2F"/>
            <w:tcMar>
              <w:left w:w="60" w:type="dxa"/>
              <w:right w:w="60" w:type="dxa"/>
            </w:tcMar>
            <w:vAlign w:val="center"/>
          </w:tcPr>
          <w:p w14:paraId="32FFAC60"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文書</w:t>
            </w:r>
          </w:p>
        </w:tc>
        <w:tc>
          <w:tcPr>
            <w:tcW w:w="500" w:type="auto"/>
            <w:shd w:val="solid" w:color="auto" w:fill="B79C2F"/>
            <w:tcMar>
              <w:left w:w="60" w:type="dxa"/>
              <w:right w:w="60" w:type="dxa"/>
            </w:tcMar>
            <w:vAlign w:val="center"/>
          </w:tcPr>
          <w:p w14:paraId="1584A6BD"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発行者</w:t>
            </w:r>
          </w:p>
        </w:tc>
        <w:tc>
          <w:tcPr>
            <w:tcW w:w="500" w:type="auto"/>
            <w:shd w:val="solid" w:color="auto" w:fill="B79C2F"/>
            <w:tcMar>
              <w:left w:w="60" w:type="dxa"/>
              <w:right w:w="60" w:type="dxa"/>
            </w:tcMar>
            <w:vAlign w:val="center"/>
          </w:tcPr>
          <w:p w14:paraId="1CFD4C32" w14:textId="77777777" w:rsidR="000669EA" w:rsidRPr="005453FB" w:rsidRDefault="00F54783" w:rsidP="00D060FC">
            <w:pPr>
              <w:spacing w:before="0" w:after="0"/>
              <w:contextualSpacing/>
              <w:jc w:val="center"/>
              <w:rPr>
                <w:rFonts w:ascii="BIZ UDPゴシック" w:eastAsia="BIZ UDPゴシック" w:hAnsi="BIZ UDPゴシック" w:cs="Calibri"/>
                <w:sz w:val="18"/>
                <w:szCs w:val="18"/>
              </w:rPr>
            </w:pPr>
            <w:r w:rsidRPr="005453FB">
              <w:rPr>
                <w:rFonts w:ascii="BIZ UDPゴシック" w:eastAsia="BIZ UDPゴシック" w:hAnsi="BIZ UDPゴシック" w:cs="Calibri"/>
                <w:b/>
                <w:bCs/>
                <w:sz w:val="18"/>
                <w:szCs w:val="18"/>
              </w:rPr>
              <w:t>関連内容</w:t>
            </w:r>
          </w:p>
        </w:tc>
      </w:tr>
      <w:tr w:rsidR="000669EA" w:rsidRPr="005453FB" w14:paraId="56249924" w14:textId="77777777">
        <w:tc>
          <w:tcPr>
            <w:tcW w:w="500" w:type="auto"/>
            <w:tcMar>
              <w:left w:w="60" w:type="dxa"/>
              <w:right w:w="60" w:type="dxa"/>
            </w:tcMar>
            <w:vAlign w:val="center"/>
          </w:tcPr>
          <w:p w14:paraId="6BCE9AF1" w14:textId="77777777" w:rsidR="000669EA" w:rsidRPr="005453FB" w:rsidRDefault="00F54783" w:rsidP="00D060FC">
            <w:pPr>
              <w:spacing w:before="0" w:after="0"/>
              <w:contextualSpacing/>
              <w:rPr>
                <w:rFonts w:ascii="BIZ UDPゴシック" w:eastAsia="BIZ UDPゴシック" w:hAnsi="BIZ UDPゴシック" w:cs="Calibri"/>
                <w:sz w:val="18"/>
                <w:szCs w:val="18"/>
                <w:lang w:eastAsia="zh-CN"/>
              </w:rPr>
            </w:pPr>
            <w:r w:rsidRPr="005453FB">
              <w:rPr>
                <w:rFonts w:ascii="BIZ UDPゴシック" w:eastAsia="BIZ UDPゴシック" w:hAnsi="BIZ UDPゴシック" w:cs="Calibri"/>
                <w:sz w:val="18"/>
                <w:szCs w:val="18"/>
                <w:lang w:eastAsia="zh-CN"/>
              </w:rPr>
              <w:t>大阪取引所 受託契約準則 第9条</w:t>
            </w:r>
          </w:p>
        </w:tc>
        <w:tc>
          <w:tcPr>
            <w:tcW w:w="500" w:type="auto"/>
            <w:tcMar>
              <w:left w:w="60" w:type="dxa"/>
              <w:right w:w="60" w:type="dxa"/>
            </w:tcMar>
            <w:vAlign w:val="center"/>
          </w:tcPr>
          <w:p w14:paraId="701B02CA"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JPX / OSE</w:t>
            </w:r>
          </w:p>
        </w:tc>
        <w:tc>
          <w:tcPr>
            <w:tcW w:w="500" w:type="auto"/>
            <w:tcMar>
              <w:left w:w="60" w:type="dxa"/>
              <w:right w:w="60" w:type="dxa"/>
            </w:tcMar>
            <w:vAlign w:val="center"/>
          </w:tcPr>
          <w:p w14:paraId="5746E74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事前合意による新規/決済区分廃止の根拠</w:t>
            </w:r>
          </w:p>
        </w:tc>
      </w:tr>
      <w:tr w:rsidR="000669EA" w:rsidRPr="005453FB" w14:paraId="00F0E48F" w14:textId="77777777">
        <w:tc>
          <w:tcPr>
            <w:tcW w:w="500" w:type="auto"/>
            <w:tcMar>
              <w:left w:w="60" w:type="dxa"/>
              <w:right w:w="60" w:type="dxa"/>
            </w:tcMar>
            <w:vAlign w:val="center"/>
          </w:tcPr>
          <w:p w14:paraId="5513D2F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金融商品取引業等に関する内閣府令 第158条</w:t>
            </w:r>
          </w:p>
        </w:tc>
        <w:tc>
          <w:tcPr>
            <w:tcW w:w="500" w:type="auto"/>
            <w:tcMar>
              <w:left w:w="60" w:type="dxa"/>
              <w:right w:w="60" w:type="dxa"/>
            </w:tcMar>
            <w:vAlign w:val="center"/>
          </w:tcPr>
          <w:p w14:paraId="749051B9"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金融庁</w:t>
            </w:r>
          </w:p>
        </w:tc>
        <w:tc>
          <w:tcPr>
            <w:tcW w:w="500" w:type="auto"/>
            <w:tcMar>
              <w:left w:w="60" w:type="dxa"/>
              <w:right w:w="60" w:type="dxa"/>
            </w:tcMar>
            <w:vAlign w:val="center"/>
          </w:tcPr>
          <w:p w14:paraId="5F9C0ECE"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先物取引の決済処理に関する規定</w:t>
            </w:r>
          </w:p>
        </w:tc>
      </w:tr>
      <w:tr w:rsidR="000669EA" w:rsidRPr="005453FB" w14:paraId="3D6388CB" w14:textId="77777777">
        <w:tc>
          <w:tcPr>
            <w:tcW w:w="500" w:type="auto"/>
            <w:tcMar>
              <w:left w:w="60" w:type="dxa"/>
              <w:right w:w="60" w:type="dxa"/>
            </w:tcMar>
            <w:vAlign w:val="center"/>
          </w:tcPr>
          <w:p w14:paraId="347CEEC2"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JSDAガイドライン（平均単価利用に関するガイダンス）</w:t>
            </w:r>
          </w:p>
        </w:tc>
        <w:tc>
          <w:tcPr>
            <w:tcW w:w="500" w:type="auto"/>
            <w:tcMar>
              <w:left w:w="60" w:type="dxa"/>
              <w:right w:w="60" w:type="dxa"/>
            </w:tcMar>
            <w:vAlign w:val="center"/>
          </w:tcPr>
          <w:p w14:paraId="37E053C8"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JSDA</w:t>
            </w:r>
          </w:p>
        </w:tc>
        <w:tc>
          <w:tcPr>
            <w:tcW w:w="500" w:type="auto"/>
            <w:tcMar>
              <w:left w:w="60" w:type="dxa"/>
              <w:right w:w="60" w:type="dxa"/>
            </w:tcMar>
            <w:vAlign w:val="center"/>
          </w:tcPr>
          <w:p w14:paraId="33FAF3B0"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平均単価の利用指針（解釈の余地あり）</w:t>
            </w:r>
          </w:p>
        </w:tc>
      </w:tr>
      <w:tr w:rsidR="000669EA" w:rsidRPr="005453FB" w14:paraId="30FA86A5" w14:textId="77777777">
        <w:tc>
          <w:tcPr>
            <w:tcW w:w="500" w:type="auto"/>
            <w:tcMar>
              <w:left w:w="60" w:type="dxa"/>
              <w:right w:w="60" w:type="dxa"/>
            </w:tcMar>
            <w:vAlign w:val="center"/>
          </w:tcPr>
          <w:p w14:paraId="2E83B621"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lastRenderedPageBreak/>
              <w:t>FIA DMISTの30-30-30ルール</w:t>
            </w:r>
          </w:p>
        </w:tc>
        <w:tc>
          <w:tcPr>
            <w:tcW w:w="500" w:type="auto"/>
            <w:tcMar>
              <w:left w:w="60" w:type="dxa"/>
              <w:right w:w="60" w:type="dxa"/>
            </w:tcMar>
            <w:vAlign w:val="center"/>
          </w:tcPr>
          <w:p w14:paraId="0DEED66D" w14:textId="77777777" w:rsidR="000669EA" w:rsidRPr="005453FB" w:rsidRDefault="00F54783" w:rsidP="00D060FC">
            <w:pPr>
              <w:spacing w:before="0" w:after="0"/>
              <w:contextualSpacing/>
              <w:rPr>
                <w:rFonts w:ascii="BIZ UDPゴシック" w:eastAsia="BIZ UDPゴシック" w:hAnsi="BIZ UDPゴシック" w:cs="Calibri"/>
                <w:sz w:val="18"/>
                <w:szCs w:val="18"/>
                <w:lang w:eastAsia="zh-CN"/>
              </w:rPr>
            </w:pPr>
            <w:r w:rsidRPr="005453FB">
              <w:rPr>
                <w:rFonts w:ascii="BIZ UDPゴシック" w:eastAsia="BIZ UDPゴシック" w:hAnsi="BIZ UDPゴシック" w:cs="Calibri"/>
                <w:sz w:val="18"/>
                <w:szCs w:val="18"/>
                <w:lang w:eastAsia="zh-CN"/>
              </w:rPr>
              <w:t>FIA（国際先物業協会）</w:t>
            </w:r>
          </w:p>
        </w:tc>
        <w:tc>
          <w:tcPr>
            <w:tcW w:w="500" w:type="auto"/>
            <w:tcMar>
              <w:left w:w="60" w:type="dxa"/>
              <w:right w:w="60" w:type="dxa"/>
            </w:tcMar>
            <w:vAlign w:val="center"/>
          </w:tcPr>
          <w:p w14:paraId="1EA4BD2F" w14:textId="77777777"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約定後30分以内のポストトレード処理基準</w:t>
            </w:r>
          </w:p>
        </w:tc>
      </w:tr>
    </w:tbl>
    <w:p w14:paraId="160C483A" w14:textId="77777777" w:rsidR="000669EA" w:rsidRPr="005453FB" w:rsidRDefault="000669EA" w:rsidP="00D060FC">
      <w:pPr>
        <w:pBdr>
          <w:top w:val="single" w:sz="6" w:space="0" w:color="auto"/>
        </w:pBdr>
        <w:spacing w:before="0" w:after="0"/>
        <w:contextualSpacing/>
        <w:rPr>
          <w:rFonts w:ascii="BIZ UDPゴシック" w:eastAsia="BIZ UDPゴシック" w:hAnsi="BIZ UDPゴシック" w:cs="Calibri"/>
          <w:sz w:val="18"/>
          <w:szCs w:val="18"/>
        </w:rPr>
      </w:pPr>
    </w:p>
    <w:p w14:paraId="703B9C34" w14:textId="77777777" w:rsidR="000669EA" w:rsidRPr="005453FB" w:rsidRDefault="00F54783" w:rsidP="00D060FC">
      <w:pPr>
        <w:pStyle w:val="1"/>
        <w:spacing w:before="0"/>
        <w:contextualSpacing/>
        <w:rPr>
          <w:rFonts w:ascii="BIZ UDPゴシック" w:eastAsia="BIZ UDPゴシック" w:hAnsi="BIZ UDPゴシック" w:cs="Calibri"/>
          <w:color w:val="0070C0"/>
          <w:sz w:val="28"/>
          <w:szCs w:val="28"/>
        </w:rPr>
      </w:pPr>
      <w:bookmarkStart w:id="20" w:name="a-5-本質問票への回答に関するご注意"/>
      <w:r w:rsidRPr="005453FB">
        <w:rPr>
          <w:rFonts w:ascii="BIZ UDPゴシック" w:eastAsia="BIZ UDPゴシック" w:hAnsi="BIZ UDPゴシック" w:cs="Calibri"/>
          <w:color w:val="0070C0"/>
          <w:sz w:val="28"/>
          <w:szCs w:val="28"/>
        </w:rPr>
        <w:t>A-5. 本質問票への回答に関するご注意</w:t>
      </w:r>
      <w:bookmarkEnd w:id="20"/>
    </w:p>
    <w:p w14:paraId="381589EE" w14:textId="0C9407BA" w:rsidR="009C00E4" w:rsidRPr="005453FB" w:rsidRDefault="009C00E4" w:rsidP="009C00E4">
      <w:pPr>
        <w:pStyle w:val="1"/>
        <w:numPr>
          <w:ilvl w:val="0"/>
          <w:numId w:val="13"/>
        </w:numPr>
        <w:contextualSpacing/>
        <w:rPr>
          <w:rFonts w:ascii="BIZ UDPゴシック" w:eastAsia="BIZ UDPゴシック" w:hAnsi="BIZ UDPゴシック" w:cs="Calibri"/>
          <w:color w:val="auto"/>
          <w:sz w:val="18"/>
          <w:szCs w:val="18"/>
        </w:rPr>
      </w:pPr>
      <w:r w:rsidRPr="005453FB">
        <w:rPr>
          <w:rFonts w:ascii="BIZ UDPゴシック" w:eastAsia="BIZ UDPゴシック" w:hAnsi="BIZ UDPゴシック" w:cs="Calibri"/>
          <w:color w:val="auto"/>
          <w:sz w:val="18"/>
          <w:szCs w:val="18"/>
        </w:rPr>
        <w:t>本質問票への回答は、今後の業界標準および制度改正の検討に反映されます。</w:t>
      </w:r>
      <w:r w:rsidRPr="005453FB">
        <w:rPr>
          <w:rFonts w:ascii="BIZ UDPゴシック" w:eastAsia="BIZ UDPゴシック" w:hAnsi="BIZ UDPゴシック" w:cs="Calibri"/>
          <w:color w:val="auto"/>
          <w:sz w:val="18"/>
          <w:szCs w:val="18"/>
        </w:rPr>
        <w:br/>
      </w:r>
      <w:r w:rsidRPr="005453FB">
        <w:rPr>
          <w:rFonts w:ascii="BIZ UDPゴシック" w:eastAsia="BIZ UDPゴシック" w:hAnsi="BIZ UDPゴシック" w:cs="Calibri" w:hint="eastAsia"/>
          <w:b w:val="0"/>
          <w:bCs w:val="0"/>
          <w:color w:val="auto"/>
          <w:sz w:val="18"/>
          <w:szCs w:val="18"/>
        </w:rPr>
        <w:t>集計・分析結果は、</w:t>
      </w:r>
      <w:r w:rsidRPr="005453FB">
        <w:rPr>
          <w:rFonts w:ascii="BIZ UDPゴシック" w:eastAsia="BIZ UDPゴシック" w:hAnsi="BIZ UDPゴシック" w:cs="Calibri"/>
          <w:b w:val="0"/>
          <w:bCs w:val="0"/>
          <w:color w:val="auto"/>
          <w:sz w:val="18"/>
          <w:szCs w:val="18"/>
        </w:rPr>
        <w:t>FIA Japan</w:t>
      </w:r>
      <w:r w:rsidRPr="005453FB">
        <w:rPr>
          <w:rFonts w:ascii="BIZ UDPゴシック" w:eastAsia="BIZ UDPゴシック" w:hAnsi="BIZ UDPゴシック" w:cs="Calibri" w:hint="eastAsia"/>
          <w:b w:val="0"/>
          <w:bCs w:val="0"/>
          <w:color w:val="auto"/>
          <w:sz w:val="18"/>
          <w:szCs w:val="18"/>
        </w:rPr>
        <w:t>における業界ガイドラインの策定、</w:t>
      </w:r>
      <w:r w:rsidRPr="005453FB">
        <w:rPr>
          <w:rFonts w:ascii="BIZ UDPゴシック" w:eastAsia="BIZ UDPゴシック" w:hAnsi="BIZ UDPゴシック" w:cs="Calibri"/>
          <w:b w:val="0"/>
          <w:bCs w:val="0"/>
          <w:color w:val="auto"/>
          <w:sz w:val="18"/>
          <w:szCs w:val="18"/>
        </w:rPr>
        <w:t>JSDA</w:t>
      </w:r>
      <w:r w:rsidRPr="005453FB">
        <w:rPr>
          <w:rFonts w:ascii="BIZ UDPゴシック" w:eastAsia="BIZ UDPゴシック" w:hAnsi="BIZ UDPゴシック" w:cs="Calibri" w:hint="eastAsia"/>
          <w:b w:val="0"/>
          <w:bCs w:val="0"/>
          <w:color w:val="auto"/>
          <w:sz w:val="18"/>
          <w:szCs w:val="18"/>
        </w:rPr>
        <w:t>の関連規則・ガイドラインの見直しに向けた基礎資料として使用する予定です。</w:t>
      </w:r>
    </w:p>
    <w:p w14:paraId="2D593213" w14:textId="77777777" w:rsidR="009C00E4" w:rsidRPr="005453FB" w:rsidRDefault="009C00E4" w:rsidP="009C00E4">
      <w:pPr>
        <w:pStyle w:val="1"/>
        <w:numPr>
          <w:ilvl w:val="0"/>
          <w:numId w:val="13"/>
        </w:numPr>
        <w:contextualSpacing/>
        <w:rPr>
          <w:rFonts w:ascii="BIZ UDPゴシック" w:eastAsia="BIZ UDPゴシック" w:hAnsi="BIZ UDPゴシック" w:cs="Calibri"/>
          <w:color w:val="auto"/>
          <w:sz w:val="18"/>
          <w:szCs w:val="18"/>
        </w:rPr>
      </w:pPr>
      <w:r w:rsidRPr="005453FB">
        <w:rPr>
          <w:rFonts w:ascii="BIZ UDPゴシック" w:eastAsia="BIZ UDPゴシック" w:hAnsi="BIZ UDPゴシック" w:cs="Calibri"/>
          <w:color w:val="auto"/>
          <w:sz w:val="18"/>
          <w:szCs w:val="18"/>
        </w:rPr>
        <w:t>回答は任意ですが、できる限りご回答ください。</w:t>
      </w:r>
      <w:r w:rsidRPr="005453FB">
        <w:rPr>
          <w:rFonts w:ascii="BIZ UDPゴシック" w:eastAsia="BIZ UDPゴシック" w:hAnsi="BIZ UDPゴシック" w:cs="Calibri"/>
          <w:color w:val="auto"/>
          <w:sz w:val="18"/>
          <w:szCs w:val="18"/>
        </w:rPr>
        <w:br/>
      </w:r>
      <w:r w:rsidRPr="005453FB">
        <w:rPr>
          <w:rFonts w:ascii="BIZ UDPゴシック" w:eastAsia="BIZ UDPゴシック" w:hAnsi="BIZ UDPゴシック" w:cs="Calibri" w:hint="eastAsia"/>
          <w:b w:val="0"/>
          <w:bCs w:val="0"/>
          <w:color w:val="auto"/>
          <w:sz w:val="18"/>
          <w:szCs w:val="18"/>
        </w:rPr>
        <w:t>投資家保護およびグローバル基準との整合性を確保し、各社の実務を適切に反映した業界標準を策定するためには、幅広い市場参加者からの回答が不可欠です。ご回答がない場合、貴社の現在の運用実態、標準化に伴う影響およびご意見を、今後の業界標準や制度改正の検討に反映できない可能性があります。</w:t>
      </w:r>
    </w:p>
    <w:p w14:paraId="51E2C8BC" w14:textId="77777777" w:rsidR="009C00E4" w:rsidRPr="005453FB" w:rsidRDefault="009C00E4" w:rsidP="009C00E4">
      <w:pPr>
        <w:pStyle w:val="1"/>
        <w:numPr>
          <w:ilvl w:val="0"/>
          <w:numId w:val="13"/>
        </w:numPr>
        <w:contextualSpacing/>
        <w:rPr>
          <w:rFonts w:ascii="BIZ UDPゴシック" w:eastAsia="BIZ UDPゴシック" w:hAnsi="BIZ UDPゴシック" w:cs="Calibri"/>
          <w:color w:val="auto"/>
          <w:sz w:val="18"/>
          <w:szCs w:val="18"/>
        </w:rPr>
      </w:pPr>
      <w:r w:rsidRPr="005453FB">
        <w:rPr>
          <w:rFonts w:ascii="BIZ UDPゴシック" w:eastAsia="BIZ UDPゴシック" w:hAnsi="BIZ UDPゴシック" w:cs="Calibri"/>
          <w:color w:val="auto"/>
          <w:sz w:val="18"/>
          <w:szCs w:val="18"/>
        </w:rPr>
        <w:t>回答内容は匿名で集計します。</w:t>
      </w:r>
      <w:r w:rsidRPr="005453FB">
        <w:rPr>
          <w:rFonts w:ascii="BIZ UDPゴシック" w:eastAsia="BIZ UDPゴシック" w:hAnsi="BIZ UDPゴシック" w:cs="Calibri"/>
          <w:color w:val="auto"/>
          <w:sz w:val="18"/>
          <w:szCs w:val="18"/>
        </w:rPr>
        <w:br/>
      </w:r>
      <w:r w:rsidRPr="005453FB">
        <w:rPr>
          <w:rFonts w:ascii="BIZ UDPゴシック" w:eastAsia="BIZ UDPゴシック" w:hAnsi="BIZ UDPゴシック" w:cs="Calibri" w:hint="eastAsia"/>
          <w:b w:val="0"/>
          <w:bCs w:val="0"/>
          <w:color w:val="auto"/>
          <w:sz w:val="18"/>
          <w:szCs w:val="18"/>
        </w:rPr>
        <w:t>個社名が特定される形で回答内容を開示することはありません。集計結果は、業界全体の傾向として共有します。</w:t>
      </w:r>
    </w:p>
    <w:p w14:paraId="043BB93B" w14:textId="77777777" w:rsidR="009C00E4" w:rsidRPr="005453FB" w:rsidRDefault="009C00E4" w:rsidP="009C00E4">
      <w:pPr>
        <w:pStyle w:val="1"/>
        <w:numPr>
          <w:ilvl w:val="0"/>
          <w:numId w:val="13"/>
        </w:numPr>
        <w:contextualSpacing/>
        <w:rPr>
          <w:rFonts w:ascii="BIZ UDPゴシック" w:eastAsia="BIZ UDPゴシック" w:hAnsi="BIZ UDPゴシック" w:cs="Calibri"/>
          <w:color w:val="auto"/>
          <w:sz w:val="18"/>
          <w:szCs w:val="18"/>
        </w:rPr>
      </w:pPr>
      <w:r w:rsidRPr="005453FB">
        <w:rPr>
          <w:rFonts w:ascii="BIZ UDPゴシック" w:eastAsia="BIZ UDPゴシック" w:hAnsi="BIZ UDPゴシック" w:cs="Calibri"/>
          <w:color w:val="auto"/>
          <w:sz w:val="18"/>
          <w:szCs w:val="18"/>
        </w:rPr>
        <w:t>現在の運用実態をありのままにご回答ください。</w:t>
      </w:r>
      <w:r w:rsidRPr="005453FB">
        <w:rPr>
          <w:rFonts w:ascii="BIZ UDPゴシック" w:eastAsia="BIZ UDPゴシック" w:hAnsi="BIZ UDPゴシック" w:cs="Calibri"/>
          <w:color w:val="auto"/>
          <w:sz w:val="18"/>
          <w:szCs w:val="18"/>
        </w:rPr>
        <w:br/>
      </w:r>
      <w:r w:rsidRPr="005453FB">
        <w:rPr>
          <w:rFonts w:ascii="BIZ UDPゴシック" w:eastAsia="BIZ UDPゴシック" w:hAnsi="BIZ UDPゴシック" w:cs="Calibri" w:hint="eastAsia"/>
          <w:b w:val="0"/>
          <w:bCs w:val="0"/>
          <w:color w:val="auto"/>
          <w:sz w:val="18"/>
          <w:szCs w:val="18"/>
        </w:rPr>
        <w:t>本質問票では、特定の回答や「あるべき姿」を求めるものではありません。現在採用している方法、実務上の制約、標準化した場合に想定される影響を、可能な限り具体的にご回答ください。標準化への反対意見や移行上の課題についても、今後の制度設計に必要な重要な情報として取り扱います。</w:t>
      </w:r>
    </w:p>
    <w:p w14:paraId="023DB340" w14:textId="796E8AE6" w:rsidR="009C00E4" w:rsidRPr="005453FB" w:rsidRDefault="009C00E4" w:rsidP="009C00E4">
      <w:pPr>
        <w:pStyle w:val="1"/>
        <w:numPr>
          <w:ilvl w:val="0"/>
          <w:numId w:val="13"/>
        </w:numPr>
        <w:contextualSpacing/>
        <w:rPr>
          <w:rFonts w:ascii="BIZ UDPゴシック" w:eastAsia="BIZ UDPゴシック" w:hAnsi="BIZ UDPゴシック" w:cs="Calibri"/>
          <w:color w:val="auto"/>
          <w:sz w:val="18"/>
          <w:szCs w:val="18"/>
        </w:rPr>
      </w:pPr>
      <w:r w:rsidRPr="005453FB">
        <w:rPr>
          <w:rFonts w:ascii="BIZ UDPゴシック" w:eastAsia="BIZ UDPゴシック" w:hAnsi="BIZ UDPゴシック" w:cs="Calibri"/>
          <w:color w:val="auto"/>
          <w:sz w:val="18"/>
          <w:szCs w:val="18"/>
        </w:rPr>
        <w:t>ご不明な点はFIA Japan事務局までご連絡ください。</w:t>
      </w:r>
      <w:r w:rsidRPr="005453FB">
        <w:rPr>
          <w:rFonts w:ascii="BIZ UDPゴシック" w:eastAsia="BIZ UDPゴシック" w:hAnsi="BIZ UDPゴシック" w:cs="Calibri"/>
          <w:color w:val="auto"/>
          <w:sz w:val="18"/>
          <w:szCs w:val="18"/>
        </w:rPr>
        <w:br/>
      </w:r>
      <w:r w:rsidRPr="005453FB">
        <w:rPr>
          <w:rFonts w:ascii="BIZ UDPゴシック" w:eastAsia="BIZ UDPゴシック" w:hAnsi="BIZ UDPゴシック" w:cs="Calibri"/>
          <w:b w:val="0"/>
          <w:bCs w:val="0"/>
          <w:color w:val="auto"/>
          <w:sz w:val="18"/>
          <w:szCs w:val="18"/>
        </w:rPr>
        <w:t>Tony Crane</w:t>
      </w:r>
      <w:r w:rsidRPr="005453FB">
        <w:rPr>
          <w:rFonts w:ascii="BIZ UDPゴシック" w:eastAsia="BIZ UDPゴシック" w:hAnsi="BIZ UDPゴシック" w:cs="Calibri" w:hint="eastAsia"/>
          <w:b w:val="0"/>
          <w:bCs w:val="0"/>
          <w:color w:val="auto"/>
          <w:sz w:val="18"/>
          <w:szCs w:val="18"/>
        </w:rPr>
        <w:t>（</w:t>
      </w:r>
      <w:r w:rsidRPr="005453FB">
        <w:rPr>
          <w:rFonts w:ascii="BIZ UDPゴシック" w:eastAsia="BIZ UDPゴシック" w:hAnsi="BIZ UDPゴシック" w:cs="Calibri"/>
          <w:b w:val="0"/>
          <w:bCs w:val="0"/>
          <w:color w:val="auto"/>
          <w:sz w:val="18"/>
          <w:szCs w:val="18"/>
        </w:rPr>
        <w:t>FIA Japan</w:t>
      </w:r>
      <w:r w:rsidRPr="005453FB">
        <w:rPr>
          <w:rFonts w:ascii="BIZ UDPゴシック" w:eastAsia="BIZ UDPゴシック" w:hAnsi="BIZ UDPゴシック" w:cs="Calibri" w:hint="eastAsia"/>
          <w:b w:val="0"/>
          <w:bCs w:val="0"/>
          <w:color w:val="auto"/>
          <w:sz w:val="18"/>
          <w:szCs w:val="18"/>
        </w:rPr>
        <w:t>）</w:t>
      </w:r>
      <w:r w:rsidRPr="005453FB">
        <w:rPr>
          <w:rFonts w:ascii="BIZ UDPゴシック" w:eastAsia="BIZ UDPゴシック" w:hAnsi="BIZ UDPゴシック" w:cs="Calibri"/>
          <w:b w:val="0"/>
          <w:bCs w:val="0"/>
          <w:color w:val="auto"/>
          <w:sz w:val="18"/>
          <w:szCs w:val="18"/>
        </w:rPr>
        <w:br/>
        <w:t xml:space="preserve">FIA Japan </w:t>
      </w:r>
      <w:r w:rsidRPr="005453FB">
        <w:rPr>
          <w:rFonts w:ascii="BIZ UDPゴシック" w:eastAsia="BIZ UDPゴシック" w:hAnsi="BIZ UDPゴシック" w:cs="Calibri" w:hint="eastAsia"/>
          <w:b w:val="0"/>
          <w:bCs w:val="0"/>
          <w:color w:val="auto"/>
          <w:sz w:val="18"/>
          <w:szCs w:val="18"/>
        </w:rPr>
        <w:t>オペレーション委員会</w:t>
      </w:r>
      <w:r w:rsidRPr="005453FB">
        <w:rPr>
          <w:rFonts w:ascii="BIZ UDPゴシック" w:eastAsia="BIZ UDPゴシック" w:hAnsi="BIZ UDPゴシック" w:cs="Calibri"/>
          <w:b w:val="0"/>
          <w:bCs w:val="0"/>
          <w:color w:val="auto"/>
          <w:sz w:val="18"/>
          <w:szCs w:val="18"/>
        </w:rPr>
        <w:t xml:space="preserve"> </w:t>
      </w:r>
      <w:r w:rsidRPr="005453FB">
        <w:rPr>
          <w:rFonts w:ascii="BIZ UDPゴシック" w:eastAsia="BIZ UDPゴシック" w:hAnsi="BIZ UDPゴシック" w:cs="Calibri" w:hint="eastAsia"/>
          <w:b w:val="0"/>
          <w:bCs w:val="0"/>
          <w:color w:val="auto"/>
          <w:sz w:val="18"/>
          <w:szCs w:val="18"/>
        </w:rPr>
        <w:t>議長・柳沢</w:t>
      </w:r>
      <w:r w:rsidRPr="005453FB">
        <w:rPr>
          <w:rFonts w:ascii="BIZ UDPゴシック" w:eastAsia="BIZ UDPゴシック" w:hAnsi="BIZ UDPゴシック" w:cs="Calibri"/>
          <w:b w:val="0"/>
          <w:bCs w:val="0"/>
          <w:color w:val="auto"/>
          <w:sz w:val="18"/>
          <w:szCs w:val="18"/>
        </w:rPr>
        <w:t xml:space="preserve"> </w:t>
      </w:r>
      <w:r w:rsidRPr="005453FB">
        <w:rPr>
          <w:rFonts w:ascii="BIZ UDPゴシック" w:eastAsia="BIZ UDPゴシック" w:hAnsi="BIZ UDPゴシック" w:cs="Calibri" w:hint="eastAsia"/>
          <w:b w:val="0"/>
          <w:bCs w:val="0"/>
          <w:color w:val="auto"/>
          <w:sz w:val="18"/>
          <w:szCs w:val="18"/>
        </w:rPr>
        <w:t>俊（</w:t>
      </w:r>
      <w:r w:rsidRPr="005453FB">
        <w:rPr>
          <w:rFonts w:ascii="BIZ UDPゴシック" w:eastAsia="BIZ UDPゴシック" w:hAnsi="BIZ UDPゴシック" w:cs="Calibri"/>
          <w:b w:val="0"/>
          <w:bCs w:val="0"/>
          <w:color w:val="auto"/>
          <w:sz w:val="18"/>
          <w:szCs w:val="18"/>
        </w:rPr>
        <w:t>Citigroup</w:t>
      </w:r>
      <w:r w:rsidRPr="005453FB">
        <w:rPr>
          <w:rFonts w:ascii="BIZ UDPゴシック" w:eastAsia="BIZ UDPゴシック" w:hAnsi="BIZ UDPゴシック" w:cs="Calibri" w:hint="eastAsia"/>
          <w:b w:val="0"/>
          <w:bCs w:val="0"/>
          <w:color w:val="auto"/>
          <w:sz w:val="18"/>
          <w:szCs w:val="18"/>
        </w:rPr>
        <w:t>）</w:t>
      </w:r>
    </w:p>
    <w:p w14:paraId="110A87E7" w14:textId="77777777" w:rsidR="003679E0" w:rsidRPr="005453FB" w:rsidRDefault="003679E0" w:rsidP="00B44882">
      <w:pPr>
        <w:pStyle w:val="1"/>
        <w:spacing w:before="0"/>
        <w:contextualSpacing/>
        <w:rPr>
          <w:rFonts w:ascii="BIZ UDPゴシック" w:eastAsia="BIZ UDPゴシック" w:hAnsi="BIZ UDPゴシック" w:cs="Calibri"/>
          <w:sz w:val="28"/>
          <w:szCs w:val="28"/>
        </w:rPr>
      </w:pPr>
    </w:p>
    <w:p w14:paraId="4D3F61CC" w14:textId="4A17E073" w:rsidR="00B44882" w:rsidRPr="005453FB" w:rsidRDefault="00B44882" w:rsidP="00B44882">
      <w:pPr>
        <w:pStyle w:val="1"/>
        <w:spacing w:before="0"/>
        <w:contextualSpacing/>
        <w:rPr>
          <w:rFonts w:ascii="BIZ UDPゴシック" w:eastAsia="BIZ UDPゴシック" w:hAnsi="BIZ UDPゴシック" w:cs="Calibri"/>
          <w:sz w:val="28"/>
          <w:szCs w:val="28"/>
        </w:rPr>
      </w:pPr>
      <w:r w:rsidRPr="005453FB">
        <w:rPr>
          <w:rFonts w:ascii="BIZ UDPゴシック" w:eastAsia="BIZ UDPゴシック" w:hAnsi="BIZ UDPゴシック" w:cs="Calibri"/>
          <w:sz w:val="28"/>
          <w:szCs w:val="28"/>
        </w:rPr>
        <w:t>A-</w:t>
      </w:r>
      <w:r w:rsidRPr="005453FB">
        <w:rPr>
          <w:rFonts w:ascii="BIZ UDPゴシック" w:eastAsia="BIZ UDPゴシック" w:hAnsi="BIZ UDPゴシック" w:cs="Calibri" w:hint="eastAsia"/>
          <w:sz w:val="28"/>
          <w:szCs w:val="28"/>
        </w:rPr>
        <w:t>6</w:t>
      </w:r>
      <w:r w:rsidRPr="005453FB">
        <w:rPr>
          <w:rFonts w:ascii="BIZ UDPゴシック" w:eastAsia="BIZ UDPゴシック" w:hAnsi="BIZ UDPゴシック" w:cs="Calibri"/>
          <w:sz w:val="28"/>
          <w:szCs w:val="28"/>
        </w:rPr>
        <w:t xml:space="preserve">. </w:t>
      </w:r>
      <w:r w:rsidRPr="005453FB">
        <w:rPr>
          <w:rFonts w:ascii="BIZ UDPゴシック" w:eastAsia="BIZ UDPゴシック" w:hAnsi="BIZ UDPゴシック" w:cs="Calibri" w:hint="eastAsia"/>
          <w:sz w:val="28"/>
          <w:szCs w:val="28"/>
        </w:rPr>
        <w:t>当委員会参加企業リスト（メンバー及びオブザーバー）</w:t>
      </w:r>
    </w:p>
    <w:tbl>
      <w:tblPr>
        <w:tblW w:w="7645" w:type="dxa"/>
        <w:tblCellMar>
          <w:left w:w="99" w:type="dxa"/>
          <w:right w:w="99" w:type="dxa"/>
        </w:tblCellMar>
        <w:tblLook w:val="04A0" w:firstRow="1" w:lastRow="0" w:firstColumn="1" w:lastColumn="0" w:noHBand="0" w:noVBand="1"/>
      </w:tblPr>
      <w:tblGrid>
        <w:gridCol w:w="4380"/>
        <w:gridCol w:w="3265"/>
      </w:tblGrid>
      <w:tr w:rsidR="00B44882" w:rsidRPr="005453FB" w14:paraId="33488AA6" w14:textId="77777777" w:rsidTr="00175215">
        <w:trPr>
          <w:trHeight w:val="360"/>
        </w:trPr>
        <w:tc>
          <w:tcPr>
            <w:tcW w:w="4380" w:type="dxa"/>
            <w:tcBorders>
              <w:top w:val="single" w:sz="8" w:space="0" w:color="auto"/>
              <w:left w:val="single" w:sz="8" w:space="0" w:color="auto"/>
              <w:bottom w:val="single" w:sz="4" w:space="0" w:color="auto"/>
              <w:right w:val="single" w:sz="4" w:space="0" w:color="auto"/>
            </w:tcBorders>
            <w:noWrap/>
            <w:vAlign w:val="center"/>
            <w:hideMark/>
          </w:tcPr>
          <w:p w14:paraId="2C44B5EE" w14:textId="77777777" w:rsidR="00B44882" w:rsidRPr="005453FB" w:rsidRDefault="00B44882" w:rsidP="00B44882">
            <w:pPr>
              <w:widowControl/>
              <w:spacing w:before="0" w:after="0" w:line="240" w:lineRule="auto"/>
              <w:rPr>
                <w:rFonts w:ascii="BIZ UDPゴシック" w:eastAsia="BIZ UDPゴシック" w:hAnsi="BIZ UDPゴシック" w:cs="ＭＳ Ｐゴシック"/>
                <w:b/>
                <w:bCs/>
                <w:color w:val="000000"/>
                <w:sz w:val="22"/>
                <w:szCs w:val="22"/>
              </w:rPr>
            </w:pPr>
            <w:r w:rsidRPr="005453FB">
              <w:rPr>
                <w:rFonts w:ascii="BIZ UDPゴシック" w:eastAsia="BIZ UDPゴシック" w:hAnsi="BIZ UDPゴシック" w:cs="ＭＳ Ｐゴシック"/>
                <w:b/>
                <w:bCs/>
                <w:color w:val="000000"/>
                <w:sz w:val="22"/>
                <w:szCs w:val="22"/>
              </w:rPr>
              <w:t>委員会メンバー</w:t>
            </w:r>
          </w:p>
        </w:tc>
        <w:tc>
          <w:tcPr>
            <w:tcW w:w="3265" w:type="dxa"/>
            <w:tcBorders>
              <w:top w:val="single" w:sz="8" w:space="0" w:color="auto"/>
              <w:left w:val="nil"/>
              <w:bottom w:val="single" w:sz="4" w:space="0" w:color="auto"/>
              <w:right w:val="single" w:sz="8" w:space="0" w:color="auto"/>
            </w:tcBorders>
            <w:noWrap/>
            <w:vAlign w:val="center"/>
            <w:hideMark/>
          </w:tcPr>
          <w:p w14:paraId="630433EA" w14:textId="77777777" w:rsidR="00B44882" w:rsidRPr="005453FB" w:rsidRDefault="00B44882" w:rsidP="00B44882">
            <w:pPr>
              <w:widowControl/>
              <w:spacing w:before="0" w:after="0" w:line="240" w:lineRule="auto"/>
              <w:rPr>
                <w:rFonts w:ascii="BIZ UDPゴシック" w:eastAsia="BIZ UDPゴシック" w:hAnsi="BIZ UDPゴシック" w:cs="ＭＳ Ｐゴシック"/>
                <w:b/>
                <w:bCs/>
                <w:color w:val="000000"/>
                <w:sz w:val="22"/>
                <w:szCs w:val="22"/>
              </w:rPr>
            </w:pPr>
            <w:r w:rsidRPr="005453FB">
              <w:rPr>
                <w:rFonts w:ascii="BIZ UDPゴシック" w:eastAsia="BIZ UDPゴシック" w:hAnsi="BIZ UDPゴシック" w:cs="ＭＳ Ｐゴシック"/>
                <w:b/>
                <w:bCs/>
                <w:color w:val="000000"/>
                <w:sz w:val="22"/>
                <w:szCs w:val="22"/>
              </w:rPr>
              <w:t>Committee Members</w:t>
            </w:r>
          </w:p>
        </w:tc>
      </w:tr>
      <w:tr w:rsidR="00B44882" w:rsidRPr="005453FB" w14:paraId="350FAFF5"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00FBD8B4"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ブラックロック</w:t>
            </w:r>
          </w:p>
        </w:tc>
        <w:tc>
          <w:tcPr>
            <w:tcW w:w="3265" w:type="dxa"/>
            <w:tcBorders>
              <w:top w:val="nil"/>
              <w:left w:val="nil"/>
              <w:bottom w:val="single" w:sz="4" w:space="0" w:color="auto"/>
              <w:right w:val="single" w:sz="8" w:space="0" w:color="auto"/>
            </w:tcBorders>
            <w:noWrap/>
            <w:vAlign w:val="center"/>
            <w:hideMark/>
          </w:tcPr>
          <w:p w14:paraId="58B50F10"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BlackRock</w:t>
            </w:r>
          </w:p>
        </w:tc>
      </w:tr>
      <w:tr w:rsidR="00B44882" w:rsidRPr="005453FB" w14:paraId="280D32D6"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35DE1276"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ブロードリッジ</w:t>
            </w:r>
          </w:p>
        </w:tc>
        <w:tc>
          <w:tcPr>
            <w:tcW w:w="3265" w:type="dxa"/>
            <w:tcBorders>
              <w:top w:val="nil"/>
              <w:left w:val="nil"/>
              <w:bottom w:val="single" w:sz="4" w:space="0" w:color="auto"/>
              <w:right w:val="single" w:sz="8" w:space="0" w:color="auto"/>
            </w:tcBorders>
            <w:noWrap/>
            <w:vAlign w:val="center"/>
            <w:hideMark/>
          </w:tcPr>
          <w:p w14:paraId="23770525"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Broadridge</w:t>
            </w:r>
          </w:p>
        </w:tc>
      </w:tr>
      <w:tr w:rsidR="00B44882" w:rsidRPr="005453FB" w14:paraId="767921AD"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1D63FFC8"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シティグループ</w:t>
            </w:r>
          </w:p>
        </w:tc>
        <w:tc>
          <w:tcPr>
            <w:tcW w:w="3265" w:type="dxa"/>
            <w:tcBorders>
              <w:top w:val="nil"/>
              <w:left w:val="nil"/>
              <w:bottom w:val="single" w:sz="4" w:space="0" w:color="auto"/>
              <w:right w:val="single" w:sz="8" w:space="0" w:color="auto"/>
            </w:tcBorders>
            <w:noWrap/>
            <w:vAlign w:val="center"/>
            <w:hideMark/>
          </w:tcPr>
          <w:p w14:paraId="20584C70"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Citigroup</w:t>
            </w:r>
          </w:p>
        </w:tc>
      </w:tr>
      <w:tr w:rsidR="00B44882" w:rsidRPr="005453FB" w14:paraId="46E82E0B"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200DE482"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日本カストディ銀行</w:t>
            </w:r>
          </w:p>
        </w:tc>
        <w:tc>
          <w:tcPr>
            <w:tcW w:w="3265" w:type="dxa"/>
            <w:tcBorders>
              <w:top w:val="nil"/>
              <w:left w:val="nil"/>
              <w:bottom w:val="single" w:sz="4" w:space="0" w:color="auto"/>
              <w:right w:val="single" w:sz="8" w:space="0" w:color="auto"/>
            </w:tcBorders>
            <w:noWrap/>
            <w:vAlign w:val="center"/>
            <w:hideMark/>
          </w:tcPr>
          <w:p w14:paraId="5004100A"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Custody Bank of Japan</w:t>
            </w:r>
          </w:p>
        </w:tc>
      </w:tr>
      <w:tr w:rsidR="00B44882" w:rsidRPr="005453FB" w14:paraId="3D06AF55"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543B30BD"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エフアイエス</w:t>
            </w:r>
          </w:p>
        </w:tc>
        <w:tc>
          <w:tcPr>
            <w:tcW w:w="3265" w:type="dxa"/>
            <w:tcBorders>
              <w:top w:val="nil"/>
              <w:left w:val="nil"/>
              <w:bottom w:val="single" w:sz="4" w:space="0" w:color="auto"/>
              <w:right w:val="single" w:sz="8" w:space="0" w:color="auto"/>
            </w:tcBorders>
            <w:noWrap/>
            <w:vAlign w:val="center"/>
            <w:hideMark/>
          </w:tcPr>
          <w:p w14:paraId="7DC9AD34"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FIS</w:t>
            </w:r>
          </w:p>
        </w:tc>
      </w:tr>
      <w:tr w:rsidR="00B44882" w:rsidRPr="005453FB" w14:paraId="7446985F"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44812B11"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ゴールドマンサックス</w:t>
            </w:r>
          </w:p>
        </w:tc>
        <w:tc>
          <w:tcPr>
            <w:tcW w:w="3265" w:type="dxa"/>
            <w:tcBorders>
              <w:top w:val="nil"/>
              <w:left w:val="nil"/>
              <w:bottom w:val="single" w:sz="4" w:space="0" w:color="auto"/>
              <w:right w:val="single" w:sz="8" w:space="0" w:color="auto"/>
            </w:tcBorders>
            <w:noWrap/>
            <w:vAlign w:val="center"/>
            <w:hideMark/>
          </w:tcPr>
          <w:p w14:paraId="2A5E0730"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Goldman Sachs</w:t>
            </w:r>
          </w:p>
        </w:tc>
      </w:tr>
      <w:tr w:rsidR="00B44882" w:rsidRPr="005453FB" w14:paraId="4DD92868"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53506FD8"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JPモルガン</w:t>
            </w:r>
          </w:p>
        </w:tc>
        <w:tc>
          <w:tcPr>
            <w:tcW w:w="3265" w:type="dxa"/>
            <w:tcBorders>
              <w:top w:val="nil"/>
              <w:left w:val="nil"/>
              <w:bottom w:val="single" w:sz="4" w:space="0" w:color="auto"/>
              <w:right w:val="single" w:sz="8" w:space="0" w:color="auto"/>
            </w:tcBorders>
            <w:noWrap/>
            <w:vAlign w:val="center"/>
            <w:hideMark/>
          </w:tcPr>
          <w:p w14:paraId="4FDF8AB5"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JP Morgan</w:t>
            </w:r>
          </w:p>
        </w:tc>
      </w:tr>
      <w:tr w:rsidR="00B44882" w:rsidRPr="005453FB" w14:paraId="0B3B183F"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1EEFF1C7"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日本マスタートラスト信託銀行</w:t>
            </w:r>
          </w:p>
        </w:tc>
        <w:tc>
          <w:tcPr>
            <w:tcW w:w="3265" w:type="dxa"/>
            <w:tcBorders>
              <w:top w:val="nil"/>
              <w:left w:val="nil"/>
              <w:bottom w:val="single" w:sz="4" w:space="0" w:color="auto"/>
              <w:right w:val="single" w:sz="8" w:space="0" w:color="auto"/>
            </w:tcBorders>
            <w:noWrap/>
            <w:vAlign w:val="center"/>
            <w:hideMark/>
          </w:tcPr>
          <w:p w14:paraId="761B2A85"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Master Trust Bank of Japan</w:t>
            </w:r>
          </w:p>
        </w:tc>
      </w:tr>
      <w:tr w:rsidR="00B44882" w:rsidRPr="005453FB" w14:paraId="15DB8681"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070DEAAC"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モルガン・スタンレーMUFG</w:t>
            </w:r>
          </w:p>
        </w:tc>
        <w:tc>
          <w:tcPr>
            <w:tcW w:w="3265" w:type="dxa"/>
            <w:tcBorders>
              <w:top w:val="nil"/>
              <w:left w:val="nil"/>
              <w:bottom w:val="single" w:sz="4" w:space="0" w:color="auto"/>
              <w:right w:val="single" w:sz="8" w:space="0" w:color="auto"/>
            </w:tcBorders>
            <w:noWrap/>
            <w:vAlign w:val="center"/>
            <w:hideMark/>
          </w:tcPr>
          <w:p w14:paraId="3BF08999"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Morgan Stanley MUFG</w:t>
            </w:r>
          </w:p>
        </w:tc>
      </w:tr>
      <w:tr w:rsidR="00B44882" w:rsidRPr="005453FB" w14:paraId="11A299B2"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21C3C720"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lastRenderedPageBreak/>
              <w:t> 野村総合研究所</w:t>
            </w:r>
          </w:p>
        </w:tc>
        <w:tc>
          <w:tcPr>
            <w:tcW w:w="3265" w:type="dxa"/>
            <w:tcBorders>
              <w:top w:val="nil"/>
              <w:left w:val="nil"/>
              <w:bottom w:val="single" w:sz="4" w:space="0" w:color="auto"/>
              <w:right w:val="single" w:sz="8" w:space="0" w:color="auto"/>
            </w:tcBorders>
            <w:noWrap/>
            <w:vAlign w:val="center"/>
            <w:hideMark/>
          </w:tcPr>
          <w:p w14:paraId="6EBADC4E"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Nomura Research Institute</w:t>
            </w:r>
          </w:p>
        </w:tc>
      </w:tr>
      <w:tr w:rsidR="00B44882" w:rsidRPr="005453FB" w14:paraId="27569C7C" w14:textId="77777777" w:rsidTr="00175215">
        <w:trPr>
          <w:trHeight w:val="375"/>
        </w:trPr>
        <w:tc>
          <w:tcPr>
            <w:tcW w:w="4380" w:type="dxa"/>
            <w:tcBorders>
              <w:top w:val="nil"/>
              <w:left w:val="single" w:sz="8" w:space="0" w:color="auto"/>
              <w:bottom w:val="single" w:sz="8" w:space="0" w:color="auto"/>
              <w:right w:val="single" w:sz="4" w:space="0" w:color="auto"/>
            </w:tcBorders>
            <w:noWrap/>
            <w:vAlign w:val="center"/>
            <w:hideMark/>
          </w:tcPr>
          <w:p w14:paraId="25EEF0CC"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Osttra</w:t>
            </w:r>
          </w:p>
        </w:tc>
        <w:tc>
          <w:tcPr>
            <w:tcW w:w="3265" w:type="dxa"/>
            <w:tcBorders>
              <w:top w:val="nil"/>
              <w:left w:val="nil"/>
              <w:bottom w:val="single" w:sz="8" w:space="0" w:color="auto"/>
              <w:right w:val="single" w:sz="8" w:space="0" w:color="auto"/>
            </w:tcBorders>
            <w:noWrap/>
            <w:vAlign w:val="center"/>
            <w:hideMark/>
          </w:tcPr>
          <w:p w14:paraId="5A987F40"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Osttra</w:t>
            </w:r>
          </w:p>
        </w:tc>
      </w:tr>
      <w:tr w:rsidR="00B44882" w:rsidRPr="005453FB" w14:paraId="0047D8E7" w14:textId="77777777" w:rsidTr="00175215">
        <w:trPr>
          <w:trHeight w:val="360"/>
        </w:trPr>
        <w:tc>
          <w:tcPr>
            <w:tcW w:w="4380" w:type="dxa"/>
            <w:tcBorders>
              <w:top w:val="single" w:sz="8" w:space="0" w:color="auto"/>
              <w:left w:val="single" w:sz="8" w:space="0" w:color="auto"/>
              <w:bottom w:val="single" w:sz="4" w:space="0" w:color="auto"/>
              <w:right w:val="single" w:sz="4" w:space="0" w:color="auto"/>
            </w:tcBorders>
            <w:noWrap/>
            <w:vAlign w:val="center"/>
            <w:hideMark/>
          </w:tcPr>
          <w:p w14:paraId="50B00280" w14:textId="77777777" w:rsidR="00B44882" w:rsidRPr="005453FB" w:rsidRDefault="00B44882" w:rsidP="00B44882">
            <w:pPr>
              <w:widowControl/>
              <w:spacing w:before="0" w:after="0" w:line="240" w:lineRule="auto"/>
              <w:rPr>
                <w:rFonts w:ascii="BIZ UDPゴシック" w:eastAsia="BIZ UDPゴシック" w:hAnsi="BIZ UDPゴシック" w:cs="ＭＳ Ｐゴシック"/>
                <w:b/>
                <w:bCs/>
                <w:color w:val="000000"/>
                <w:sz w:val="22"/>
                <w:szCs w:val="22"/>
              </w:rPr>
            </w:pPr>
            <w:r w:rsidRPr="005453FB">
              <w:rPr>
                <w:rFonts w:ascii="BIZ UDPゴシック" w:eastAsia="BIZ UDPゴシック" w:hAnsi="BIZ UDPゴシック" w:cs="ＭＳ Ｐゴシック"/>
                <w:b/>
                <w:bCs/>
                <w:color w:val="000000"/>
                <w:sz w:val="22"/>
                <w:szCs w:val="22"/>
              </w:rPr>
              <w:t>委員会オブザーバー</w:t>
            </w:r>
          </w:p>
        </w:tc>
        <w:tc>
          <w:tcPr>
            <w:tcW w:w="3265" w:type="dxa"/>
            <w:tcBorders>
              <w:top w:val="single" w:sz="8" w:space="0" w:color="auto"/>
              <w:left w:val="nil"/>
              <w:bottom w:val="single" w:sz="4" w:space="0" w:color="auto"/>
              <w:right w:val="single" w:sz="8" w:space="0" w:color="auto"/>
            </w:tcBorders>
            <w:noWrap/>
            <w:vAlign w:val="center"/>
            <w:hideMark/>
          </w:tcPr>
          <w:p w14:paraId="0B5CC03F" w14:textId="77777777" w:rsidR="00B44882" w:rsidRPr="005453FB" w:rsidRDefault="00B44882" w:rsidP="00B44882">
            <w:pPr>
              <w:widowControl/>
              <w:spacing w:before="0" w:after="0" w:line="240" w:lineRule="auto"/>
              <w:rPr>
                <w:rFonts w:ascii="BIZ UDPゴシック" w:eastAsia="BIZ UDPゴシック" w:hAnsi="BIZ UDPゴシック" w:cs="ＭＳ Ｐゴシック"/>
                <w:b/>
                <w:bCs/>
                <w:color w:val="000000"/>
                <w:sz w:val="22"/>
                <w:szCs w:val="22"/>
              </w:rPr>
            </w:pPr>
            <w:r w:rsidRPr="005453FB">
              <w:rPr>
                <w:rFonts w:ascii="BIZ UDPゴシック" w:eastAsia="BIZ UDPゴシック" w:hAnsi="BIZ UDPゴシック" w:cs="ＭＳ Ｐゴシック"/>
                <w:b/>
                <w:bCs/>
                <w:color w:val="000000"/>
                <w:sz w:val="22"/>
                <w:szCs w:val="22"/>
              </w:rPr>
              <w:t>Committee Observers</w:t>
            </w:r>
          </w:p>
        </w:tc>
      </w:tr>
      <w:tr w:rsidR="00B44882" w:rsidRPr="005453FB" w14:paraId="1E0878C8"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5F58C93E"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バンク・オブ・アメリカ</w:t>
            </w:r>
          </w:p>
        </w:tc>
        <w:tc>
          <w:tcPr>
            <w:tcW w:w="3265" w:type="dxa"/>
            <w:tcBorders>
              <w:top w:val="nil"/>
              <w:left w:val="nil"/>
              <w:bottom w:val="single" w:sz="4" w:space="0" w:color="auto"/>
              <w:right w:val="single" w:sz="8" w:space="0" w:color="auto"/>
            </w:tcBorders>
            <w:noWrap/>
            <w:vAlign w:val="center"/>
            <w:hideMark/>
          </w:tcPr>
          <w:p w14:paraId="6C2D399F"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Bank of America</w:t>
            </w:r>
          </w:p>
        </w:tc>
      </w:tr>
      <w:tr w:rsidR="00B44882" w:rsidRPr="005453FB" w14:paraId="34D09E85"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460E5969"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金融庁</w:t>
            </w:r>
          </w:p>
        </w:tc>
        <w:tc>
          <w:tcPr>
            <w:tcW w:w="3265" w:type="dxa"/>
            <w:tcBorders>
              <w:top w:val="nil"/>
              <w:left w:val="nil"/>
              <w:bottom w:val="single" w:sz="4" w:space="0" w:color="auto"/>
              <w:right w:val="single" w:sz="8" w:space="0" w:color="auto"/>
            </w:tcBorders>
            <w:noWrap/>
            <w:vAlign w:val="center"/>
            <w:hideMark/>
          </w:tcPr>
          <w:p w14:paraId="2F88F94C"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FSA</w:t>
            </w:r>
          </w:p>
        </w:tc>
      </w:tr>
      <w:tr w:rsidR="00B44882" w:rsidRPr="005453FB" w14:paraId="752839E8"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425E19DA"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証券保管振替機構</w:t>
            </w:r>
          </w:p>
        </w:tc>
        <w:tc>
          <w:tcPr>
            <w:tcW w:w="3265" w:type="dxa"/>
            <w:tcBorders>
              <w:top w:val="nil"/>
              <w:left w:val="nil"/>
              <w:bottom w:val="single" w:sz="4" w:space="0" w:color="auto"/>
              <w:right w:val="single" w:sz="8" w:space="0" w:color="auto"/>
            </w:tcBorders>
            <w:noWrap/>
            <w:vAlign w:val="center"/>
            <w:hideMark/>
          </w:tcPr>
          <w:p w14:paraId="2F128940"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JASDEC</w:t>
            </w:r>
          </w:p>
        </w:tc>
      </w:tr>
      <w:tr w:rsidR="00B44882" w:rsidRPr="005453FB" w14:paraId="5B641C43"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23427B6F"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大阪取引所（JPX）</w:t>
            </w:r>
          </w:p>
        </w:tc>
        <w:tc>
          <w:tcPr>
            <w:tcW w:w="3265" w:type="dxa"/>
            <w:tcBorders>
              <w:top w:val="nil"/>
              <w:left w:val="nil"/>
              <w:bottom w:val="single" w:sz="4" w:space="0" w:color="auto"/>
              <w:right w:val="single" w:sz="8" w:space="0" w:color="auto"/>
            </w:tcBorders>
            <w:noWrap/>
            <w:vAlign w:val="center"/>
            <w:hideMark/>
          </w:tcPr>
          <w:p w14:paraId="4886186E"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JPX / OSE</w:t>
            </w:r>
          </w:p>
        </w:tc>
      </w:tr>
      <w:tr w:rsidR="00B44882" w:rsidRPr="005453FB" w14:paraId="42691FBD"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2A9D0A30"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日本証券クリアリング機構（JPX）</w:t>
            </w:r>
          </w:p>
        </w:tc>
        <w:tc>
          <w:tcPr>
            <w:tcW w:w="3265" w:type="dxa"/>
            <w:tcBorders>
              <w:top w:val="nil"/>
              <w:left w:val="nil"/>
              <w:bottom w:val="single" w:sz="4" w:space="0" w:color="auto"/>
              <w:right w:val="single" w:sz="8" w:space="0" w:color="auto"/>
            </w:tcBorders>
            <w:noWrap/>
            <w:vAlign w:val="center"/>
            <w:hideMark/>
          </w:tcPr>
          <w:p w14:paraId="659C90BA"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JPX / JSCC</w:t>
            </w:r>
          </w:p>
        </w:tc>
      </w:tr>
      <w:tr w:rsidR="00990FBC" w:rsidRPr="005453FB" w14:paraId="575F76F8" w14:textId="77777777" w:rsidTr="00175215">
        <w:trPr>
          <w:trHeight w:val="360"/>
        </w:trPr>
        <w:tc>
          <w:tcPr>
            <w:tcW w:w="4380" w:type="dxa"/>
            <w:tcBorders>
              <w:top w:val="nil"/>
              <w:left w:val="single" w:sz="8" w:space="0" w:color="auto"/>
              <w:bottom w:val="single" w:sz="4" w:space="0" w:color="auto"/>
              <w:right w:val="single" w:sz="4" w:space="0" w:color="auto"/>
            </w:tcBorders>
            <w:noWrap/>
            <w:vAlign w:val="center"/>
            <w:hideMark/>
          </w:tcPr>
          <w:p w14:paraId="485754B5" w14:textId="77777777" w:rsidR="00990FBC" w:rsidRPr="005453FB" w:rsidRDefault="00990FBC" w:rsidP="001C5779">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みずほ証券</w:t>
            </w:r>
          </w:p>
        </w:tc>
        <w:tc>
          <w:tcPr>
            <w:tcW w:w="3265" w:type="dxa"/>
            <w:tcBorders>
              <w:top w:val="nil"/>
              <w:left w:val="nil"/>
              <w:bottom w:val="single" w:sz="4" w:space="0" w:color="auto"/>
              <w:right w:val="single" w:sz="8" w:space="0" w:color="auto"/>
            </w:tcBorders>
            <w:noWrap/>
            <w:vAlign w:val="center"/>
            <w:hideMark/>
          </w:tcPr>
          <w:p w14:paraId="59597161" w14:textId="77777777" w:rsidR="00990FBC" w:rsidRPr="005453FB" w:rsidRDefault="00990FBC" w:rsidP="001C5779">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Mizuho Securities</w:t>
            </w:r>
          </w:p>
        </w:tc>
      </w:tr>
      <w:tr w:rsidR="00B44882" w:rsidRPr="005453FB" w14:paraId="35F4CF14" w14:textId="77777777" w:rsidTr="00175215">
        <w:trPr>
          <w:trHeight w:val="375"/>
        </w:trPr>
        <w:tc>
          <w:tcPr>
            <w:tcW w:w="4380" w:type="dxa"/>
            <w:tcBorders>
              <w:top w:val="nil"/>
              <w:left w:val="single" w:sz="8" w:space="0" w:color="auto"/>
              <w:bottom w:val="single" w:sz="8" w:space="0" w:color="auto"/>
              <w:right w:val="single" w:sz="4" w:space="0" w:color="auto"/>
            </w:tcBorders>
            <w:noWrap/>
            <w:vAlign w:val="center"/>
            <w:hideMark/>
          </w:tcPr>
          <w:p w14:paraId="55F36C47" w14:textId="77777777" w:rsidR="00B44882" w:rsidRPr="005453FB" w:rsidRDefault="00B44882" w:rsidP="00B44882">
            <w:pPr>
              <w:widowControl/>
              <w:spacing w:before="0" w:after="0" w:line="240" w:lineRule="auto"/>
              <w:rPr>
                <w:rFonts w:ascii="BIZ UDPゴシック" w:eastAsia="BIZ UDPゴシック" w:hAnsi="BIZ UDPゴシック" w:cs="ＭＳ Ｐゴシック"/>
                <w:color w:val="000000"/>
                <w:sz w:val="22"/>
                <w:szCs w:val="22"/>
              </w:rPr>
            </w:pPr>
            <w:r w:rsidRPr="005453FB">
              <w:rPr>
                <w:rFonts w:ascii="BIZ UDPゴシック" w:eastAsia="BIZ UDPゴシック" w:hAnsi="BIZ UDPゴシック" w:cs="ＭＳ Ｐゴシック"/>
                <w:color w:val="000000"/>
                <w:sz w:val="22"/>
                <w:szCs w:val="22"/>
              </w:rPr>
              <w:t>野村證券</w:t>
            </w:r>
          </w:p>
        </w:tc>
        <w:tc>
          <w:tcPr>
            <w:tcW w:w="3265" w:type="dxa"/>
            <w:tcBorders>
              <w:top w:val="nil"/>
              <w:left w:val="nil"/>
              <w:bottom w:val="single" w:sz="8" w:space="0" w:color="auto"/>
              <w:right w:val="single" w:sz="8" w:space="0" w:color="auto"/>
            </w:tcBorders>
            <w:noWrap/>
            <w:vAlign w:val="center"/>
            <w:hideMark/>
          </w:tcPr>
          <w:p w14:paraId="768DB8BB" w14:textId="77777777" w:rsidR="00B44882" w:rsidRPr="005453FB" w:rsidRDefault="00B44882" w:rsidP="00B44882">
            <w:pPr>
              <w:widowControl/>
              <w:spacing w:before="0" w:after="0" w:line="240" w:lineRule="auto"/>
              <w:rPr>
                <w:rFonts w:ascii="BIZ UDPゴシック" w:eastAsia="BIZ UDPゴシック" w:hAnsi="BIZ UDPゴシック" w:cs="ＭＳ Ｐゴシック"/>
                <w:sz w:val="22"/>
                <w:szCs w:val="22"/>
              </w:rPr>
            </w:pPr>
            <w:r w:rsidRPr="005453FB">
              <w:rPr>
                <w:rFonts w:ascii="BIZ UDPゴシック" w:eastAsia="BIZ UDPゴシック" w:hAnsi="BIZ UDPゴシック" w:cs="ＭＳ Ｐゴシック"/>
                <w:sz w:val="22"/>
                <w:szCs w:val="22"/>
              </w:rPr>
              <w:t>Nomura Securities</w:t>
            </w:r>
          </w:p>
        </w:tc>
      </w:tr>
    </w:tbl>
    <w:p w14:paraId="3D016E5A" w14:textId="77777777" w:rsidR="00B44882" w:rsidRPr="005453FB" w:rsidRDefault="00B44882" w:rsidP="00B44882">
      <w:pPr>
        <w:spacing w:before="0" w:after="0"/>
        <w:contextualSpacing/>
        <w:rPr>
          <w:rFonts w:ascii="BIZ UDPゴシック" w:eastAsia="BIZ UDPゴシック" w:hAnsi="BIZ UDPゴシック" w:cs="Calibri"/>
          <w:sz w:val="18"/>
          <w:szCs w:val="18"/>
          <w:lang w:val="fr-CA"/>
        </w:rPr>
      </w:pPr>
    </w:p>
    <w:p w14:paraId="42BE711A" w14:textId="68297329" w:rsidR="00B44882" w:rsidRPr="005453FB" w:rsidRDefault="00B44882" w:rsidP="00B44882">
      <w:pPr>
        <w:pStyle w:val="1"/>
        <w:spacing w:before="0"/>
        <w:contextualSpacing/>
        <w:rPr>
          <w:rFonts w:ascii="BIZ UDPゴシック" w:eastAsia="BIZ UDPゴシック" w:hAnsi="BIZ UDPゴシック" w:cs="Calibri"/>
          <w:sz w:val="28"/>
          <w:szCs w:val="28"/>
        </w:rPr>
      </w:pPr>
      <w:r w:rsidRPr="005453FB">
        <w:rPr>
          <w:rFonts w:ascii="BIZ UDPゴシック" w:eastAsia="BIZ UDPゴシック" w:hAnsi="BIZ UDPゴシック" w:cs="Calibri"/>
          <w:sz w:val="28"/>
          <w:szCs w:val="28"/>
        </w:rPr>
        <w:t>A-</w:t>
      </w:r>
      <w:r w:rsidRPr="005453FB">
        <w:rPr>
          <w:rFonts w:ascii="BIZ UDPゴシック" w:eastAsia="BIZ UDPゴシック" w:hAnsi="BIZ UDPゴシック" w:cs="Calibri" w:hint="eastAsia"/>
          <w:sz w:val="28"/>
          <w:szCs w:val="28"/>
        </w:rPr>
        <w:t>7</w:t>
      </w:r>
      <w:r w:rsidRPr="005453FB">
        <w:rPr>
          <w:rFonts w:ascii="BIZ UDPゴシック" w:eastAsia="BIZ UDPゴシック" w:hAnsi="BIZ UDPゴシック" w:cs="Calibri"/>
          <w:sz w:val="28"/>
          <w:szCs w:val="28"/>
        </w:rPr>
        <w:t xml:space="preserve">. </w:t>
      </w:r>
      <w:r w:rsidRPr="005453FB">
        <w:rPr>
          <w:rFonts w:ascii="BIZ UDPゴシック" w:eastAsia="BIZ UDPゴシック" w:hAnsi="BIZ UDPゴシック" w:cs="Calibri" w:hint="eastAsia"/>
          <w:sz w:val="28"/>
          <w:szCs w:val="28"/>
        </w:rPr>
        <w:t>FIAジャパンについて</w:t>
      </w:r>
    </w:p>
    <w:p w14:paraId="69D4CC2B"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フューチャーズ・インダストリー・アソシエーション・ジャパン（以下FIAジャパン）は、先物業界の全セクターの会員から横断的に構成される、日本で唯一の団体です。 FIAジャパンの会員は、先物・証券取引所、証券会社、商品取引会社、銀行や他の市場参加者、さらにこの業界にサービスを提供するＩＴ企業、法律事務所や他の専門業種に及びます。私達は金融、商品市場の双方に焦点をあて、この国際的な業界の国内外の発展と共に歩んでいます。</w:t>
      </w:r>
    </w:p>
    <w:p w14:paraId="23A9837C"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Cambria Math" w:eastAsia="BIZ UDPゴシック" w:hAnsi="Cambria Math" w:cs="Cambria Math"/>
          <w:sz w:val="18"/>
          <w:szCs w:val="18"/>
        </w:rPr>
        <w:t>​</w:t>
      </w:r>
    </w:p>
    <w:p w14:paraId="3925FB2C"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FIAジャパンは、ワシントンDCに拠点を置くFutures Industry Association（FIA）との建設的合意の基、1988年に国内外の先物取引業界の専門家が参加する任意団体として設立されました。 2010年には当初のミッションを継承すべく、我が国における一般社団法人としての産業団体に再編されました。 2016年には、FIAとより円滑な政策調整を行い、デリバティブ業界の促進に資するための関係を強化すべく、より公式かつ広範囲にわたる提携協定を締結しました。 FIAジャパンは独自のミッションを持つ独立した組織として、会員によって選出された理事会を有し、独自の定款に基づいて運営され、日本の金融市場の発展に注力し続けています。</w:t>
      </w:r>
    </w:p>
    <w:p w14:paraId="012199A2"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 </w:t>
      </w:r>
    </w:p>
    <w:p w14:paraId="010F9CBE"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今日、先物オプション市場は重要な役割を果たし、世界中の金融マネージャーや投資家の投資選択の幅が急速に拡大しています。日本では、東京を真の「国際金融センター」にする取り組みの一環として、先物業界および規制制度の改革が進められています。この状況において、FIAジャパンの役割はより一層重要になっています。</w:t>
      </w:r>
    </w:p>
    <w:p w14:paraId="4EFCE40A"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 </w:t>
      </w:r>
    </w:p>
    <w:p w14:paraId="56C52FC1" w14:textId="77777777" w:rsidR="00B44882" w:rsidRPr="005453FB" w:rsidRDefault="00B44882" w:rsidP="00B44882">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sz w:val="18"/>
          <w:szCs w:val="18"/>
        </w:rPr>
        <w:t>FIAジャパンのミッションは日本の金融市場の成長と成功、そして地域および世界的な金融センターとしての発展を促すことです。 </w:t>
      </w:r>
    </w:p>
    <w:p w14:paraId="4FA55CFE" w14:textId="77777777" w:rsidR="00B44882" w:rsidRPr="005453FB" w:rsidRDefault="00B44882" w:rsidP="00B44882">
      <w:pPr>
        <w:spacing w:before="0" w:after="0"/>
        <w:contextualSpacing/>
        <w:rPr>
          <w:rFonts w:ascii="BIZ UDPゴシック" w:eastAsia="BIZ UDPゴシック" w:hAnsi="BIZ UDPゴシック" w:cs="Calibri"/>
          <w:sz w:val="18"/>
          <w:szCs w:val="18"/>
          <w:lang w:val="fr-CA"/>
        </w:rPr>
      </w:pPr>
    </w:p>
    <w:p w14:paraId="31A4D244" w14:textId="77777777" w:rsidR="000669EA" w:rsidRPr="005453FB" w:rsidRDefault="000669EA" w:rsidP="00D060FC">
      <w:pPr>
        <w:pBdr>
          <w:top w:val="single" w:sz="6" w:space="0" w:color="auto"/>
        </w:pBdr>
        <w:spacing w:before="0" w:after="0"/>
        <w:contextualSpacing/>
        <w:rPr>
          <w:rFonts w:ascii="BIZ UDPゴシック" w:eastAsia="BIZ UDPゴシック" w:hAnsi="BIZ UDPゴシック" w:cs="Calibri"/>
          <w:sz w:val="18"/>
          <w:szCs w:val="18"/>
          <w:lang w:val="fr-CA"/>
        </w:rPr>
      </w:pPr>
    </w:p>
    <w:p w14:paraId="1B233992" w14:textId="6DC8735B" w:rsidR="000669EA" w:rsidRPr="005453FB" w:rsidRDefault="00F54783" w:rsidP="00D060FC">
      <w:pPr>
        <w:spacing w:before="0" w:after="0"/>
        <w:contextualSpacing/>
        <w:rPr>
          <w:rFonts w:ascii="BIZ UDPゴシック" w:eastAsia="BIZ UDPゴシック" w:hAnsi="BIZ UDPゴシック" w:cs="Calibri"/>
          <w:sz w:val="18"/>
          <w:szCs w:val="18"/>
        </w:rPr>
      </w:pPr>
      <w:r w:rsidRPr="005453FB">
        <w:rPr>
          <w:rFonts w:ascii="BIZ UDPゴシック" w:eastAsia="BIZ UDPゴシック" w:hAnsi="BIZ UDPゴシック" w:cs="Calibri"/>
          <w:i/>
          <w:iCs/>
          <w:sz w:val="18"/>
          <w:szCs w:val="18"/>
        </w:rPr>
        <w:t>本質問票の内容に関するご質問・ご意見は、FIA Japan事務局（Tony Crane</w:t>
      </w:r>
      <w:r w:rsidR="003B170B" w:rsidRPr="005453FB">
        <w:rPr>
          <w:rFonts w:ascii="BIZ UDPゴシック" w:eastAsia="BIZ UDPゴシック" w:hAnsi="BIZ UDPゴシック" w:cs="Calibri" w:hint="eastAsia"/>
          <w:i/>
          <w:iCs/>
          <w:sz w:val="18"/>
          <w:szCs w:val="18"/>
        </w:rPr>
        <w:t xml:space="preserve"> /</w:t>
      </w:r>
      <w:r w:rsidR="003B170B" w:rsidRPr="005453FB">
        <w:rPr>
          <w:rFonts w:ascii="BIZ UDPゴシック" w:eastAsia="BIZ UDPゴシック" w:hAnsi="BIZ UDPゴシック" w:cs="Calibri"/>
          <w:sz w:val="18"/>
          <w:szCs w:val="18"/>
        </w:rPr>
        <w:t xml:space="preserve"> </w:t>
      </w:r>
      <w:hyperlink r:id="rId12" w:history="1">
        <w:r w:rsidR="003B170B" w:rsidRPr="005453FB">
          <w:rPr>
            <w:rStyle w:val="a5"/>
            <w:rFonts w:ascii="BIZ UDPゴシック" w:eastAsia="BIZ UDPゴシック" w:hAnsi="BIZ UDPゴシック" w:cs="Calibri"/>
            <w:sz w:val="18"/>
            <w:szCs w:val="18"/>
          </w:rPr>
          <w:t>crane@fiajapan.org</w:t>
        </w:r>
      </w:hyperlink>
      <w:r w:rsidR="003B170B" w:rsidRPr="005453FB">
        <w:rPr>
          <w:rFonts w:ascii="BIZ UDPゴシック" w:eastAsia="BIZ UDPゴシック" w:hAnsi="BIZ UDPゴシック" w:cs="Calibri" w:hint="eastAsia"/>
          <w:sz w:val="18"/>
          <w:szCs w:val="18"/>
        </w:rPr>
        <w:t xml:space="preserve"> </w:t>
      </w:r>
      <w:r w:rsidRPr="005453FB">
        <w:rPr>
          <w:rFonts w:ascii="BIZ UDPゴシック" w:eastAsia="BIZ UDPゴシック" w:hAnsi="BIZ UDPゴシック" w:cs="Calibri"/>
          <w:i/>
          <w:iCs/>
          <w:sz w:val="18"/>
          <w:szCs w:val="18"/>
        </w:rPr>
        <w:t>）までご連絡ください。</w:t>
      </w:r>
      <w:r w:rsidRPr="005453FB">
        <w:rPr>
          <w:rFonts w:ascii="BIZ UDPゴシック" w:eastAsia="BIZ UDPゴシック" w:hAnsi="BIZ UDPゴシック" w:cs="Calibri"/>
          <w:sz w:val="18"/>
          <w:szCs w:val="18"/>
        </w:rPr>
        <w:br/>
      </w:r>
      <w:r w:rsidRPr="005453FB">
        <w:rPr>
          <w:rFonts w:ascii="BIZ UDPゴシック" w:eastAsia="BIZ UDPゴシック" w:hAnsi="BIZ UDPゴシック" w:cs="Calibri"/>
          <w:i/>
          <w:iCs/>
          <w:sz w:val="18"/>
          <w:szCs w:val="18"/>
        </w:rPr>
        <w:t>本質問票は、FIA Japan オペレーション委員会 議長・柳沢 俊（Citigroup</w:t>
      </w:r>
      <w:r w:rsidR="003B170B" w:rsidRPr="005453FB">
        <w:rPr>
          <w:rFonts w:ascii="BIZ UDPゴシック" w:eastAsia="BIZ UDPゴシック" w:hAnsi="BIZ UDPゴシック" w:cs="Calibri" w:hint="eastAsia"/>
          <w:i/>
          <w:iCs/>
          <w:sz w:val="18"/>
          <w:szCs w:val="18"/>
        </w:rPr>
        <w:t>・シティグループ証券</w:t>
      </w:r>
      <w:r w:rsidRPr="005453FB">
        <w:rPr>
          <w:rFonts w:ascii="BIZ UDPゴシック" w:eastAsia="BIZ UDPゴシック" w:hAnsi="BIZ UDPゴシック" w:cs="Calibri"/>
          <w:i/>
          <w:iCs/>
          <w:sz w:val="18"/>
          <w:szCs w:val="18"/>
        </w:rPr>
        <w:t>）</w:t>
      </w:r>
      <w:r w:rsidR="003B170B" w:rsidRPr="005453FB">
        <w:rPr>
          <w:rFonts w:ascii="BIZ UDPゴシック" w:eastAsia="BIZ UDPゴシック" w:hAnsi="BIZ UDPゴシック" w:cs="Calibri" w:hint="eastAsia"/>
          <w:i/>
          <w:iCs/>
          <w:sz w:val="18"/>
          <w:szCs w:val="18"/>
        </w:rPr>
        <w:t>が取りまとめています。</w:t>
      </w:r>
    </w:p>
    <w:sectPr w:rsidR="000669EA" w:rsidRPr="005453FB">
      <w:headerReference w:type="default" r:id="rId13"/>
      <w:footerReference w:type="even" r:id="rId14"/>
      <w:footerReference w:type="defaul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56BBD" w14:textId="77777777" w:rsidR="00D237F2" w:rsidRDefault="00D237F2">
      <w:pPr>
        <w:spacing w:before="0" w:after="0" w:line="240" w:lineRule="auto"/>
      </w:pPr>
      <w:r>
        <w:separator/>
      </w:r>
    </w:p>
  </w:endnote>
  <w:endnote w:type="continuationSeparator" w:id="0">
    <w:p w14:paraId="35D04ADE" w14:textId="77777777" w:rsidR="00D237F2" w:rsidRDefault="00D237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ti Sans Text">
    <w:altName w:val="Calibri"/>
    <w:charset w:val="00"/>
    <w:family w:val="auto"/>
    <w:pitch w:val="variable"/>
    <w:sig w:usb0="A100006F" w:usb1="0000206B" w:usb2="00000000" w:usb3="00000000" w:csb0="00000193"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c"/>
      </w:rPr>
      <w:id w:val="-978220779"/>
      <w:docPartObj>
        <w:docPartGallery w:val="Page Numbers (Bottom of Page)"/>
        <w:docPartUnique/>
      </w:docPartObj>
    </w:sdtPr>
    <w:sdtContent>
      <w:p w14:paraId="2CA24ADB" w14:textId="77777777" w:rsidR="000669EA" w:rsidRDefault="00F54783" w:rsidP="005E7090">
        <w:pPr>
          <w:framePr w:wrap="none" w:vAnchor="text" w:hAnchor="margin" w:xAlign="right" w:y="1"/>
          <w:spacing w:before="0" w:after="0"/>
          <w:rPr>
            <w:rStyle w:val="ac"/>
          </w:rPr>
        </w:pPr>
        <w:r>
          <w:rPr>
            <w:rStyle w:val="ac"/>
          </w:rPr>
          <w:fldChar w:fldCharType="begin"/>
        </w:r>
        <w:r>
          <w:rPr>
            <w:rStyle w:val="ac"/>
          </w:rPr>
          <w:instrText xml:space="preserve"> PAGE </w:instrText>
        </w:r>
        <w:r>
          <w:rPr>
            <w:rStyle w:val="ac"/>
          </w:rPr>
          <w:fldChar w:fldCharType="end"/>
        </w:r>
      </w:p>
    </w:sdtContent>
  </w:sdt>
  <w:p w14:paraId="691E7857" w14:textId="77777777" w:rsidR="000669EA" w:rsidRDefault="000669EA" w:rsidP="00FB760C">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A4AF" w14:textId="0F260E52" w:rsidR="000669EA" w:rsidRPr="0092036F" w:rsidRDefault="00F54783" w:rsidP="0092036F">
    <w:pPr>
      <w:jc w:val="center"/>
    </w:pPr>
    <w:r>
      <w:rPr>
        <w:noProof/>
      </w:rPr>
      <mc:AlternateContent>
        <mc:Choice Requires="wps">
          <w:drawing>
            <wp:anchor distT="0" distB="0" distL="114300" distR="114300" simplePos="0" relativeHeight="251659264" behindDoc="0" locked="0" layoutInCell="1" allowOverlap="1" wp14:anchorId="5B21A655" wp14:editId="471F31EE">
              <wp:simplePos x="0" y="0"/>
              <wp:positionH relativeFrom="margin">
                <wp:align>right</wp:align>
              </wp:positionH>
              <wp:positionV relativeFrom="paragraph">
                <wp:posOffset>153670</wp:posOffset>
              </wp:positionV>
              <wp:extent cx="542290" cy="327660"/>
              <wp:effectExtent l="0" t="0" r="0" b="0"/>
              <wp:wrapNone/>
              <wp:docPr id="62096880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290" cy="32766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79053E0" w14:textId="77777777" w:rsidR="00F54783" w:rsidRPr="0092036F" w:rsidRDefault="00F54783" w:rsidP="0092036F">
                          <w:pPr>
                            <w:spacing w:before="0" w:after="0"/>
                            <w:jc w:val="right"/>
                          </w:pPr>
                          <w:r w:rsidRPr="0092036F">
                            <w:fldChar w:fldCharType="begin"/>
                          </w:r>
                          <w:r w:rsidRPr="0092036F">
                            <w:instrText xml:space="preserve"> PAGE    * MERGEFORMAT </w:instrText>
                          </w:r>
                          <w:r w:rsidRPr="0092036F">
                            <w:fldChar w:fldCharType="separate"/>
                          </w:r>
                          <w:r w:rsidRPr="0092036F">
                            <w:rPr>
                              <w:noProof/>
                            </w:rPr>
                            <w:t>2</w:t>
                          </w:r>
                          <w:r w:rsidRPr="0092036F">
                            <w:rPr>
                              <w:noProof/>
                            </w:rPr>
                            <w:fldChar w:fldCharType="end"/>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21A655" id="Rectangle 78" o:spid="_x0000_s1026" style="position:absolute;left:0;text-align:left;margin-left:-8.5pt;margin-top:12.1pt;width:42.7pt;height:25.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" filled="f" stroked="f">
              <v:textbox>
                <w:txbxContent>
                  <w:p w14:paraId="279053E0" w14:textId="77777777" w:rsidR="00F54783" w:rsidRPr="0092036F" w:rsidRDefault="00F54783" w:rsidP="0092036F">
                    <w:pPr>
                      <w:spacing w:before="0" w:after="0"/>
                      <w:jc w:val="right"/>
                    </w:pPr>
                    <w:r w:rsidRPr="0092036F">
                      <w:fldChar w:fldCharType="begin"/>
                    </w:r>
                    <w:r w:rsidRPr="0092036F">
                      <w:instrText xml:space="preserve"> PAGE    * MERGEFORMAT </w:instrText>
                    </w:r>
                    <w:r w:rsidRPr="0092036F">
                      <w:fldChar w:fldCharType="separate"/>
                    </w:r>
                    <w:r w:rsidRPr="0092036F">
                      <w:rPr>
                        <w:noProof/>
                      </w:rPr>
                      <w:t>2</w:t>
                    </w:r>
                    <w:r w:rsidRPr="0092036F">
                      <w:rPr>
                        <w:noProof/>
                      </w:rPr>
                      <w:fldChar w:fldCharType="end"/>
                    </w:r>
                  </w:p>
                </w:txbxContent>
              </v:textbox>
              <w10:wrap anchorx="margin"/>
            </v:rect>
          </w:pict>
        </mc:Fallback>
      </mc:AlternateContent>
    </w:r>
    <w:sdt>
      <w:sdtPr>
        <w:id w:val="1639386875"/>
        <w:docPartObj>
          <w:docPartGallery w:val="Page Numbers (Bottom of Page)"/>
          <w:docPartUnique/>
        </w:docPartObj>
      </w:sdtPr>
      <w:sdtContent/>
    </w:sdt>
    <w:r>
      <w:rPr>
        <w:color w:val="FFFFFF"/>
        <w:sz w:val="16"/>
      </w:rPr>
      <w:t>DO NOT REMOVE|b30965c3c1abba26f4d109013ac77caca71c3c06cd20cc8280450d18aa643cc2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CF44" w14:textId="77777777" w:rsidR="00D237F2" w:rsidRDefault="00D237F2">
      <w:pPr>
        <w:spacing w:before="0" w:after="0" w:line="240" w:lineRule="auto"/>
      </w:pPr>
      <w:r>
        <w:separator/>
      </w:r>
    </w:p>
  </w:footnote>
  <w:footnote w:type="continuationSeparator" w:id="0">
    <w:p w14:paraId="7059899F" w14:textId="77777777" w:rsidR="00D237F2" w:rsidRDefault="00D237F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7770" w14:textId="57BE70FA" w:rsidR="00DC56EB" w:rsidRDefault="00DC56EB">
    <w:pPr>
      <w:pStyle w:val="ad"/>
    </w:pPr>
    <w:r>
      <w:rPr>
        <w:rFonts w:ascii="Century" w:hAnsi="Century" w:cs="Century"/>
        <w:noProof/>
        <w:szCs w:val="21"/>
        <w:lang w:val="ja"/>
      </w:rPr>
      <w:drawing>
        <wp:inline distT="0" distB="0" distL="0" distR="0" wp14:anchorId="64D14D90" wp14:editId="400114F7">
          <wp:extent cx="2416175" cy="484774"/>
          <wp:effectExtent l="0" t="0" r="3175" b="0"/>
          <wp:docPr id="793168624" name="Picture 79316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6175" cy="4847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68B4"/>
    <w:multiLevelType w:val="hybridMultilevel"/>
    <w:tmpl w:val="1E90D83A"/>
    <w:lvl w:ilvl="0" w:tplc="A34E6CAE">
      <w:start w:val="1"/>
      <w:numFmt w:val="bullet"/>
      <w:lvlText w:val="●"/>
      <w:lvlJc w:val="left"/>
      <w:pPr>
        <w:ind w:left="576"/>
      </w:pPr>
    </w:lvl>
    <w:lvl w:ilvl="1" w:tplc="DF7AD30C">
      <w:start w:val="1"/>
      <w:numFmt w:val="bullet"/>
      <w:lvlText w:val="○"/>
      <w:lvlJc w:val="left"/>
      <w:pPr>
        <w:ind w:left="936"/>
      </w:pPr>
    </w:lvl>
    <w:lvl w:ilvl="2" w:tplc="F18AFAC0">
      <w:start w:val="1"/>
      <w:numFmt w:val="bullet"/>
      <w:lvlText w:val="■"/>
      <w:lvlJc w:val="left"/>
      <w:pPr>
        <w:ind w:left="1296"/>
      </w:pPr>
    </w:lvl>
    <w:lvl w:ilvl="3" w:tplc="1988FE50">
      <w:start w:val="1"/>
      <w:numFmt w:val="bullet"/>
      <w:lvlText w:val="◆"/>
      <w:lvlJc w:val="left"/>
      <w:pPr>
        <w:ind w:left="1656"/>
      </w:pPr>
    </w:lvl>
    <w:lvl w:ilvl="4" w:tplc="CA30346A">
      <w:start w:val="1"/>
      <w:numFmt w:val="bullet"/>
      <w:lvlText w:val="▶"/>
      <w:lvlJc w:val="left"/>
      <w:pPr>
        <w:ind w:left="2016"/>
      </w:pPr>
    </w:lvl>
    <w:lvl w:ilvl="5" w:tplc="4C2493D4">
      <w:start w:val="1"/>
      <w:numFmt w:val="bullet"/>
      <w:lvlText w:val="◉"/>
      <w:lvlJc w:val="left"/>
      <w:pPr>
        <w:ind w:left="2376"/>
      </w:pPr>
    </w:lvl>
    <w:lvl w:ilvl="6" w:tplc="D6D2C54E">
      <w:start w:val="1"/>
      <w:numFmt w:val="bullet"/>
      <w:lvlText w:val="⬤"/>
      <w:lvlJc w:val="left"/>
      <w:pPr>
        <w:ind w:left="2735"/>
      </w:pPr>
    </w:lvl>
    <w:lvl w:ilvl="7" w:tplc="C97C53B0">
      <w:start w:val="1"/>
      <w:numFmt w:val="bullet"/>
      <w:lvlText w:val="♦"/>
      <w:lvlJc w:val="left"/>
      <w:pPr>
        <w:ind w:left="3095"/>
      </w:pPr>
    </w:lvl>
    <w:lvl w:ilvl="8" w:tplc="1D0231DE">
      <w:numFmt w:val="decimal"/>
      <w:lvlText w:val=""/>
      <w:lvlJc w:val="left"/>
    </w:lvl>
  </w:abstractNum>
  <w:abstractNum w:abstractNumId="1" w15:restartNumberingAfterBreak="0">
    <w:nsid w:val="17AA00DB"/>
    <w:multiLevelType w:val="multilevel"/>
    <w:tmpl w:val="250C9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826B1"/>
    <w:multiLevelType w:val="multilevel"/>
    <w:tmpl w:val="284A0098"/>
    <w:lvl w:ilvl="0">
      <w:start w:val="1"/>
      <w:numFmt w:val="decimal"/>
      <w:lvlText w:val="%1."/>
      <w:lvlJc w:val="left"/>
      <w:pPr>
        <w:ind w:left="576"/>
      </w:pPr>
    </w:lvl>
    <w:lvl w:ilvl="1">
      <w:start w:val="1"/>
      <w:numFmt w:val="decimal"/>
      <w:lvlText w:val="%1.%2."/>
      <w:lvlJc w:val="left"/>
      <w:pPr>
        <w:ind w:left="936"/>
      </w:pPr>
    </w:lvl>
    <w:lvl w:ilvl="2">
      <w:start w:val="1"/>
      <w:numFmt w:val="decimal"/>
      <w:lvlText w:val="%1.%2.%3."/>
      <w:lvlJc w:val="left"/>
      <w:pPr>
        <w:ind w:left="1296"/>
      </w:pPr>
    </w:lvl>
    <w:lvl w:ilvl="3">
      <w:start w:val="1"/>
      <w:numFmt w:val="decimal"/>
      <w:lvlText w:val="%1.%2.%3.%4."/>
      <w:lvlJc w:val="left"/>
      <w:pPr>
        <w:ind w:left="1656"/>
      </w:pPr>
    </w:lvl>
    <w:lvl w:ilvl="4">
      <w:start w:val="1"/>
      <w:numFmt w:val="upperLetter"/>
      <w:lvlText w:val="%5."/>
      <w:lvlJc w:val="left"/>
      <w:pPr>
        <w:ind w:left="2016"/>
      </w:pPr>
    </w:lvl>
    <w:lvl w:ilvl="5">
      <w:start w:val="1"/>
      <w:numFmt w:val="lowerLetter"/>
      <w:lvlText w:val="%6."/>
      <w:lvlJc w:val="left"/>
      <w:pPr>
        <w:ind w:left="2376"/>
      </w:pPr>
    </w:lvl>
    <w:lvl w:ilvl="6">
      <w:start w:val="1"/>
      <w:numFmt w:val="lowerRoman"/>
      <w:lvlText w:val="%7."/>
      <w:lvlJc w:val="left"/>
      <w:pPr>
        <w:ind w:left="2735"/>
      </w:pPr>
    </w:lvl>
    <w:lvl w:ilvl="7">
      <w:start w:val="1"/>
      <w:numFmt w:val="upperRoman"/>
      <w:lvlText w:val="%8."/>
      <w:lvlJc w:val="left"/>
      <w:pPr>
        <w:ind w:left="3095"/>
      </w:pPr>
    </w:lvl>
    <w:lvl w:ilvl="8">
      <w:numFmt w:val="decimal"/>
      <w:lvlText w:val=""/>
      <w:lvlJc w:val="left"/>
    </w:lvl>
  </w:abstractNum>
  <w:abstractNum w:abstractNumId="3" w15:restartNumberingAfterBreak="0">
    <w:nsid w:val="30DD4182"/>
    <w:multiLevelType w:val="multilevel"/>
    <w:tmpl w:val="B7DAD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100BB"/>
    <w:multiLevelType w:val="multilevel"/>
    <w:tmpl w:val="6EEA8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273063"/>
    <w:multiLevelType w:val="multilevel"/>
    <w:tmpl w:val="08DAF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85213D"/>
    <w:multiLevelType w:val="multilevel"/>
    <w:tmpl w:val="D268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5C75F6"/>
    <w:multiLevelType w:val="multilevel"/>
    <w:tmpl w:val="41A029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8670505"/>
    <w:multiLevelType w:val="hybridMultilevel"/>
    <w:tmpl w:val="71EC040E"/>
    <w:lvl w:ilvl="0" w:tplc="DD9E796C">
      <w:start w:val="1"/>
      <w:numFmt w:val="bullet"/>
      <w:lvlText w:val="●"/>
      <w:lvlJc w:val="left"/>
      <w:pPr>
        <w:ind w:left="720" w:hanging="360"/>
      </w:pPr>
    </w:lvl>
    <w:lvl w:ilvl="1" w:tplc="ADF8AFD8">
      <w:start w:val="1"/>
      <w:numFmt w:val="bullet"/>
      <w:lvlText w:val="○"/>
      <w:lvlJc w:val="left"/>
      <w:pPr>
        <w:ind w:left="1440" w:hanging="360"/>
      </w:pPr>
    </w:lvl>
    <w:lvl w:ilvl="2" w:tplc="A73652E8">
      <w:start w:val="1"/>
      <w:numFmt w:val="bullet"/>
      <w:lvlText w:val="■"/>
      <w:lvlJc w:val="left"/>
      <w:pPr>
        <w:ind w:left="2160" w:hanging="360"/>
      </w:pPr>
    </w:lvl>
    <w:lvl w:ilvl="3" w:tplc="EC76231A">
      <w:start w:val="1"/>
      <w:numFmt w:val="bullet"/>
      <w:lvlText w:val="●"/>
      <w:lvlJc w:val="left"/>
      <w:pPr>
        <w:ind w:left="2880" w:hanging="360"/>
      </w:pPr>
    </w:lvl>
    <w:lvl w:ilvl="4" w:tplc="EBD04824">
      <w:start w:val="1"/>
      <w:numFmt w:val="bullet"/>
      <w:lvlText w:val="○"/>
      <w:lvlJc w:val="left"/>
      <w:pPr>
        <w:ind w:left="3600" w:hanging="360"/>
      </w:pPr>
    </w:lvl>
    <w:lvl w:ilvl="5" w:tplc="1EF607F8">
      <w:start w:val="1"/>
      <w:numFmt w:val="bullet"/>
      <w:lvlText w:val="■"/>
      <w:lvlJc w:val="left"/>
      <w:pPr>
        <w:ind w:left="4320" w:hanging="360"/>
      </w:pPr>
    </w:lvl>
    <w:lvl w:ilvl="6" w:tplc="01BA886E">
      <w:start w:val="1"/>
      <w:numFmt w:val="bullet"/>
      <w:lvlText w:val="●"/>
      <w:lvlJc w:val="left"/>
      <w:pPr>
        <w:ind w:left="5040" w:hanging="360"/>
      </w:pPr>
    </w:lvl>
    <w:lvl w:ilvl="7" w:tplc="6EAA00FA">
      <w:start w:val="1"/>
      <w:numFmt w:val="bullet"/>
      <w:lvlText w:val="●"/>
      <w:lvlJc w:val="left"/>
      <w:pPr>
        <w:ind w:left="5760" w:hanging="360"/>
      </w:pPr>
    </w:lvl>
    <w:lvl w:ilvl="8" w:tplc="C44ABEA4">
      <w:start w:val="1"/>
      <w:numFmt w:val="bullet"/>
      <w:lvlText w:val="●"/>
      <w:lvlJc w:val="left"/>
      <w:pPr>
        <w:ind w:left="6480" w:hanging="360"/>
      </w:pPr>
    </w:lvl>
  </w:abstractNum>
  <w:abstractNum w:abstractNumId="9" w15:restartNumberingAfterBreak="0">
    <w:nsid w:val="6A4F37EB"/>
    <w:multiLevelType w:val="multilevel"/>
    <w:tmpl w:val="F6D05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27387608">
    <w:abstractNumId w:val="8"/>
    <w:lvlOverride w:ilvl="0">
      <w:startOverride w:val="1"/>
    </w:lvlOverride>
  </w:num>
  <w:num w:numId="2" w16cid:durableId="1391198566">
    <w:abstractNumId w:val="2"/>
    <w:lvlOverride w:ilvl="0">
      <w:startOverride w:val="1"/>
    </w:lvlOverride>
  </w:num>
  <w:num w:numId="3" w16cid:durableId="525296086">
    <w:abstractNumId w:val="0"/>
    <w:lvlOverride w:ilvl="0">
      <w:startOverride w:val="1"/>
    </w:lvlOverride>
  </w:num>
  <w:num w:numId="4" w16cid:durableId="1883975775">
    <w:abstractNumId w:val="0"/>
    <w:lvlOverride w:ilvl="0">
      <w:startOverride w:val="1"/>
    </w:lvlOverride>
  </w:num>
  <w:num w:numId="5" w16cid:durableId="1049190628">
    <w:abstractNumId w:val="0"/>
    <w:lvlOverride w:ilvl="0">
      <w:startOverride w:val="1"/>
    </w:lvlOverride>
  </w:num>
  <w:num w:numId="6" w16cid:durableId="1506362700">
    <w:abstractNumId w:val="2"/>
    <w:lvlOverride w:ilvl="0">
      <w:startOverride w:val="1"/>
    </w:lvlOverride>
  </w:num>
  <w:num w:numId="7" w16cid:durableId="1383752908">
    <w:abstractNumId w:val="6"/>
  </w:num>
  <w:num w:numId="8" w16cid:durableId="875890058">
    <w:abstractNumId w:val="5"/>
  </w:num>
  <w:num w:numId="9" w16cid:durableId="1228034450">
    <w:abstractNumId w:val="9"/>
  </w:num>
  <w:num w:numId="10" w16cid:durableId="1269120648">
    <w:abstractNumId w:val="3"/>
  </w:num>
  <w:num w:numId="11" w16cid:durableId="466779271">
    <w:abstractNumId w:val="4"/>
  </w:num>
  <w:num w:numId="12" w16cid:durableId="1072660089">
    <w:abstractNumId w:val="1"/>
  </w:num>
  <w:num w:numId="13" w16cid:durableId="1450584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9EA"/>
    <w:rsid w:val="00014FBF"/>
    <w:rsid w:val="00032A88"/>
    <w:rsid w:val="00046794"/>
    <w:rsid w:val="00064DB3"/>
    <w:rsid w:val="000669EA"/>
    <w:rsid w:val="00085A51"/>
    <w:rsid w:val="000B2AB1"/>
    <w:rsid w:val="000C4255"/>
    <w:rsid w:val="000D64CF"/>
    <w:rsid w:val="00121AE2"/>
    <w:rsid w:val="00175215"/>
    <w:rsid w:val="0019439C"/>
    <w:rsid w:val="001D5765"/>
    <w:rsid w:val="00207EAF"/>
    <w:rsid w:val="002220A3"/>
    <w:rsid w:val="00235901"/>
    <w:rsid w:val="003459CF"/>
    <w:rsid w:val="003679E0"/>
    <w:rsid w:val="00377DB7"/>
    <w:rsid w:val="00395167"/>
    <w:rsid w:val="003B170B"/>
    <w:rsid w:val="003D0880"/>
    <w:rsid w:val="003D2F5A"/>
    <w:rsid w:val="00400264"/>
    <w:rsid w:val="00435C67"/>
    <w:rsid w:val="00445E75"/>
    <w:rsid w:val="00473485"/>
    <w:rsid w:val="0054113E"/>
    <w:rsid w:val="005453FB"/>
    <w:rsid w:val="005B1B28"/>
    <w:rsid w:val="005E479D"/>
    <w:rsid w:val="00611CC1"/>
    <w:rsid w:val="00653916"/>
    <w:rsid w:val="00684742"/>
    <w:rsid w:val="006A1828"/>
    <w:rsid w:val="006B1280"/>
    <w:rsid w:val="006C15DC"/>
    <w:rsid w:val="006E7C4B"/>
    <w:rsid w:val="00740A1C"/>
    <w:rsid w:val="00753DC7"/>
    <w:rsid w:val="007638DD"/>
    <w:rsid w:val="00877DD1"/>
    <w:rsid w:val="008E6134"/>
    <w:rsid w:val="0095100B"/>
    <w:rsid w:val="00990FBC"/>
    <w:rsid w:val="009C00E4"/>
    <w:rsid w:val="00A01DAE"/>
    <w:rsid w:val="00A051F1"/>
    <w:rsid w:val="00A9700E"/>
    <w:rsid w:val="00AE4719"/>
    <w:rsid w:val="00AF30BE"/>
    <w:rsid w:val="00B33900"/>
    <w:rsid w:val="00B44882"/>
    <w:rsid w:val="00B62916"/>
    <w:rsid w:val="00B929BF"/>
    <w:rsid w:val="00C71025"/>
    <w:rsid w:val="00C76E70"/>
    <w:rsid w:val="00CA09D0"/>
    <w:rsid w:val="00CE09F3"/>
    <w:rsid w:val="00D060FC"/>
    <w:rsid w:val="00D237F2"/>
    <w:rsid w:val="00DC56EB"/>
    <w:rsid w:val="00E47370"/>
    <w:rsid w:val="00EA1DCD"/>
    <w:rsid w:val="00EC17AE"/>
    <w:rsid w:val="00EE0CC1"/>
    <w:rsid w:val="00EE252B"/>
    <w:rsid w:val="00EF54A4"/>
    <w:rsid w:val="00F048A5"/>
    <w:rsid w:val="00F54783"/>
    <w:rsid w:val="00F5646B"/>
    <w:rsid w:val="00FC13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DE2CA1"/>
  <w15:docId w15:val="{2E720532-0122-4068-B409-845028D5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iti Sans Text" w:eastAsiaTheme="minorEastAsia" w:hAnsi="Citi Sans Text" w:cs="Citi Sans Text"/>
        <w:lang w:val="en-US" w:eastAsia="ja-JP" w:bidi="ar-SA"/>
      </w:rPr>
    </w:rPrDefault>
    <w:pPrDefault>
      <w:pPr>
        <w:spacing w:before="150" w:after="150" w:line="3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50" w:after="0"/>
      <w:outlineLvl w:val="0"/>
    </w:pPr>
    <w:rPr>
      <w:rFonts w:eastAsia="Citi Sans Text"/>
      <w:b/>
      <w:bCs/>
      <w:color w:val="255AE3"/>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rFonts w:eastAsia="Citi Sans Text"/>
      <w:color w:val="0E2841"/>
      <w:sz w:val="48"/>
      <w:szCs w:val="48"/>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style>
  <w:style w:type="character" w:customStyle="1" w:styleId="ab">
    <w:name w:val="文末脚注文字列 (文字)"/>
    <w:link w:val="aa"/>
    <w:uiPriority w:val="99"/>
    <w:semiHidden/>
    <w:unhideWhenUsed/>
    <w:rPr>
      <w:sz w:val="20"/>
      <w:szCs w:val="20"/>
    </w:rPr>
  </w:style>
  <w:style w:type="character" w:styleId="ac">
    <w:name w:val="page number"/>
    <w:uiPriority w:val="99"/>
    <w:semiHidden/>
    <w:unhideWhenUsed/>
    <w:rsid w:val="00FB760C"/>
    <w:rPr>
      <w:rFonts w:ascii="Citi Sans Text" w:hAnsi="Citi Sans Text"/>
      <w:b w:val="0"/>
      <w:i w:val="0"/>
      <w:sz w:val="24"/>
    </w:rPr>
  </w:style>
  <w:style w:type="paragraph" w:styleId="ad">
    <w:name w:val="header"/>
    <w:basedOn w:val="a"/>
    <w:link w:val="ae"/>
    <w:uiPriority w:val="99"/>
    <w:unhideWhenUsed/>
    <w:rsid w:val="00FC137A"/>
    <w:pPr>
      <w:tabs>
        <w:tab w:val="center" w:pos="4252"/>
        <w:tab w:val="right" w:pos="8504"/>
      </w:tabs>
      <w:snapToGrid w:val="0"/>
    </w:pPr>
  </w:style>
  <w:style w:type="character" w:customStyle="1" w:styleId="ae">
    <w:name w:val="ヘッダー (文字)"/>
    <w:basedOn w:val="a0"/>
    <w:link w:val="ad"/>
    <w:uiPriority w:val="99"/>
    <w:rsid w:val="00FC137A"/>
  </w:style>
  <w:style w:type="paragraph" w:styleId="af">
    <w:name w:val="footer"/>
    <w:basedOn w:val="a"/>
    <w:link w:val="af0"/>
    <w:uiPriority w:val="99"/>
    <w:unhideWhenUsed/>
    <w:rsid w:val="00FC137A"/>
    <w:pPr>
      <w:tabs>
        <w:tab w:val="center" w:pos="4252"/>
        <w:tab w:val="right" w:pos="8504"/>
      </w:tabs>
      <w:snapToGrid w:val="0"/>
    </w:pPr>
  </w:style>
  <w:style w:type="character" w:customStyle="1" w:styleId="af0">
    <w:name w:val="フッター (文字)"/>
    <w:basedOn w:val="a0"/>
    <w:link w:val="af"/>
    <w:uiPriority w:val="99"/>
    <w:rsid w:val="00FC137A"/>
  </w:style>
  <w:style w:type="paragraph" w:styleId="af1">
    <w:name w:val="Revision"/>
    <w:hidden/>
    <w:uiPriority w:val="99"/>
    <w:semiHidden/>
    <w:rsid w:val="009C00E4"/>
    <w:pPr>
      <w:spacing w:before="0" w:after="0" w:line="240" w:lineRule="auto"/>
    </w:pPr>
  </w:style>
  <w:style w:type="character" w:styleId="af2">
    <w:name w:val="Unresolved Mention"/>
    <w:basedOn w:val="a0"/>
    <w:uiPriority w:val="99"/>
    <w:semiHidden/>
    <w:unhideWhenUsed/>
    <w:rsid w:val="00877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crane@fiajapan.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1398</Words>
  <Characters>7972</Characters>
  <Application>Microsoft Office Word</Application>
  <DocSecurity>0</DocSecurity>
  <Lines>66</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質問票v4_冒頭追加・Appendixドラフト.docx</vt:lpstr>
      <vt:lpstr>質問票v4_冒頭追加・Appendixドラフト.docx</vt:lpstr>
    </vt:vector>
  </TitlesOfParts>
  <Company>Citi</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質問票v4_冒頭追加・Appendixドラフト.docx</dc:title>
  <dc:creator>Shun Yanagisawa</dc:creator>
  <cp:lastModifiedBy>Shun Yanagisawa</cp:lastModifiedBy>
  <cp:revision>7</cp:revision>
  <dcterms:created xsi:type="dcterms:W3CDTF">2026-09-16T02:46:00Z</dcterms:created>
  <dcterms:modified xsi:type="dcterms:W3CDTF">2026-09-16T03:58:00Z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91669d-c62a-41f9-9790-e463798003d8_Enabled">
    <vt:lpwstr>true</vt:lpwstr>
  </property>
  <property fmtid="{D5CDD505-2E9C-101B-9397-08002B2CF9AE}" pid="3" name="MSIP_Label_d291669d-c62a-41f9-9790-e463798003d8_SetDate">
    <vt:lpwstr>2026-07-08T04:23:11Z</vt:lpwstr>
  </property>
  <property fmtid="{D5CDD505-2E9C-101B-9397-08002B2CF9AE}" pid="4" name="MSIP_Label_d291669d-c62a-41f9-9790-e463798003d8_Method">
    <vt:lpwstr>Privileged</vt:lpwstr>
  </property>
  <property fmtid="{D5CDD505-2E9C-101B-9397-08002B2CF9AE}" pid="5" name="MSIP_Label_d291669d-c62a-41f9-9790-e463798003d8_Name">
    <vt:lpwstr>Public</vt:lpwstr>
  </property>
  <property fmtid="{D5CDD505-2E9C-101B-9397-08002B2CF9AE}" pid="6" name="MSIP_Label_d291669d-c62a-41f9-9790-e463798003d8_SiteId">
    <vt:lpwstr>1771ae17-e764-4e0f-a476-d4184d79a5d9</vt:lpwstr>
  </property>
  <property fmtid="{D5CDD505-2E9C-101B-9397-08002B2CF9AE}" pid="7" name="MSIP_Label_d291669d-c62a-41f9-9790-e463798003d8_ActionId">
    <vt:lpwstr>2e59a4fc-e4d7-4254-912e-41fcedd51dc6</vt:lpwstr>
  </property>
  <property fmtid="{D5CDD505-2E9C-101B-9397-08002B2CF9AE}" pid="8" name="MSIP_Label_d291669d-c62a-41f9-9790-e463798003d8_ContentBits">
    <vt:lpwstr>0</vt:lpwstr>
  </property>
  <property fmtid="{D5CDD505-2E9C-101B-9397-08002B2CF9AE}" pid="9" name="MSIP_Label_d291669d-c62a-41f9-9790-e463798003d8_Tag">
    <vt:lpwstr>10, 0, 1, 1</vt:lpwstr>
  </property>
  <property fmtid="{D5CDD505-2E9C-101B-9397-08002B2CF9AE}" pid="10" name="MSIP_Label_f3310d8f-122c-4c8a-af29-cd9de841932c_Enabled">
    <vt:lpwstr>true</vt:lpwstr>
  </property>
  <property fmtid="{D5CDD505-2E9C-101B-9397-08002B2CF9AE}" pid="11" name="MSIP_Label_f3310d8f-122c-4c8a-af29-cd9de841932c_SetDate">
    <vt:lpwstr>2026-07-08T05:58:29Z</vt:lpwstr>
  </property>
  <property fmtid="{D5CDD505-2E9C-101B-9397-08002B2CF9AE}" pid="12" name="MSIP_Label_f3310d8f-122c-4c8a-af29-cd9de841932c_Method">
    <vt:lpwstr>Standard</vt:lpwstr>
  </property>
  <property fmtid="{D5CDD505-2E9C-101B-9397-08002B2CF9AE}" pid="13" name="MSIP_Label_f3310d8f-122c-4c8a-af29-cd9de841932c_Name">
    <vt:lpwstr>Internal</vt:lpwstr>
  </property>
  <property fmtid="{D5CDD505-2E9C-101B-9397-08002B2CF9AE}" pid="14" name="MSIP_Label_f3310d8f-122c-4c8a-af29-cd9de841932c_SiteId">
    <vt:lpwstr>79c738e8-25cd-4c36-adf6-6ea2ed78f6a4</vt:lpwstr>
  </property>
  <property fmtid="{D5CDD505-2E9C-101B-9397-08002B2CF9AE}" pid="15" name="MSIP_Label_f3310d8f-122c-4c8a-af29-cd9de841932c_ActionId">
    <vt:lpwstr>8ba4a317-c3ee-4c69-828c-1854c694102b</vt:lpwstr>
  </property>
  <property fmtid="{D5CDD505-2E9C-101B-9397-08002B2CF9AE}" pid="16" name="MSIP_Label_f3310d8f-122c-4c8a-af29-cd9de841932c_ContentBits">
    <vt:lpwstr>0</vt:lpwstr>
  </property>
  <property fmtid="{D5CDD505-2E9C-101B-9397-08002B2CF9AE}" pid="17" name="MSIP_Label_f3310d8f-122c-4c8a-af29-cd9de841932c_Tag">
    <vt:lpwstr>10, 3, 0, 1</vt:lpwstr>
  </property>
</Properties>
</file>